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2"/>
        </w:rPr>
      </w:pPr>
      <w:r>
        <w:rPr>
          <w:rFonts w:hint="eastAsia" w:ascii="宋体" w:hAnsi="宋体"/>
          <w:b/>
          <w:sz w:val="32"/>
        </w:rPr>
        <w:t>行业计量技术规范项目建议书</w:t>
      </w:r>
    </w:p>
    <w:tbl>
      <w:tblPr>
        <w:tblStyle w:val="8"/>
        <w:tblW w:w="9099"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2"/>
        <w:gridCol w:w="1134"/>
        <w:gridCol w:w="850"/>
        <w:gridCol w:w="851"/>
        <w:gridCol w:w="1559"/>
        <w:gridCol w:w="709"/>
        <w:gridCol w:w="1134"/>
        <w:gridCol w:w="20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3"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sz w:val="28"/>
                <w:szCs w:val="28"/>
              </w:rPr>
              <w:t>建议项目名称</w:t>
            </w:r>
          </w:p>
        </w:tc>
        <w:tc>
          <w:tcPr>
            <w:tcW w:w="7143" w:type="dxa"/>
            <w:gridSpan w:val="6"/>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ascii="宋体" w:hAnsi="宋体"/>
                <w:sz w:val="28"/>
                <w:szCs w:val="28"/>
              </w:rPr>
              <w:t>长线天线法暗室等效场强校准规范</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92"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制定或修订</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rPr>
                <w:sz w:val="28"/>
                <w:szCs w:val="28"/>
              </w:rPr>
            </w:pPr>
            <w:r>
              <w:rPr>
                <w:rFonts w:hint="eastAsia" w:ascii="宋体" w:hAnsi="宋体"/>
                <w:sz w:val="28"/>
                <w:szCs w:val="28"/>
              </w:rPr>
              <w:t xml:space="preserve">   ■</w:t>
            </w:r>
            <w:r>
              <w:rPr>
                <w:rFonts w:hint="eastAsia"/>
                <w:sz w:val="28"/>
                <w:szCs w:val="28"/>
              </w:rPr>
              <w:t xml:space="preserve">制定    </w:t>
            </w:r>
            <w:r>
              <w:rPr>
                <w:rFonts w:hint="eastAsia" w:ascii="宋体" w:hAnsi="宋体"/>
                <w:sz w:val="28"/>
                <w:szCs w:val="28"/>
              </w:rPr>
              <w:t>□</w:t>
            </w:r>
            <w:r>
              <w:rPr>
                <w:rFonts w:hint="eastAsia"/>
                <w:sz w:val="28"/>
                <w:szCs w:val="28"/>
              </w:rPr>
              <w:t>修订</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sz w:val="28"/>
                <w:szCs w:val="28"/>
              </w:rPr>
            </w:pPr>
            <w:r>
              <w:rPr>
                <w:rFonts w:hint="eastAsia"/>
                <w:sz w:val="28"/>
                <w:szCs w:val="28"/>
              </w:rPr>
              <w:t>被修订计量技术规范号</w:t>
            </w:r>
          </w:p>
        </w:tc>
        <w:tc>
          <w:tcPr>
            <w:tcW w:w="2040" w:type="dxa"/>
            <w:tcBorders>
              <w:top w:val="single" w:color="auto" w:sz="4" w:space="0"/>
              <w:left w:val="single" w:color="auto" w:sz="4" w:space="0"/>
              <w:bottom w:val="single" w:color="auto" w:sz="4" w:space="0"/>
              <w:right w:val="single" w:color="auto" w:sz="4" w:space="0"/>
            </w:tcBorders>
            <w:vAlign w:val="center"/>
          </w:tcPr>
          <w:p>
            <w:pPr>
              <w:rPr>
                <w:sz w:val="28"/>
                <w:szCs w:val="28"/>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97"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sz w:val="28"/>
                <w:szCs w:val="28"/>
              </w:rPr>
            </w:pPr>
            <w:r>
              <w:rPr>
                <w:rFonts w:hint="eastAsia"/>
                <w:sz w:val="28"/>
                <w:szCs w:val="28"/>
              </w:rPr>
              <w:t>计量技术规范性质</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jc w:val="center"/>
              <w:rPr>
                <w:sz w:val="28"/>
                <w:szCs w:val="28"/>
              </w:rPr>
            </w:pPr>
            <w:r>
              <w:rPr>
                <w:rFonts w:hint="eastAsia"/>
                <w:sz w:val="28"/>
                <w:szCs w:val="28"/>
              </w:rPr>
              <w:t xml:space="preserve"> □检定规程</w:t>
            </w:r>
          </w:p>
          <w:p>
            <w:pPr>
              <w:spacing w:line="400" w:lineRule="exact"/>
              <w:jc w:val="center"/>
              <w:rPr>
                <w:rFonts w:ascii="宋体" w:hAnsi="宋体"/>
                <w:sz w:val="28"/>
                <w:szCs w:val="28"/>
              </w:rPr>
            </w:pPr>
            <w:r>
              <w:rPr>
                <w:rFonts w:hint="eastAsia"/>
                <w:sz w:val="28"/>
                <w:szCs w:val="28"/>
              </w:rPr>
              <w:t xml:space="preserve"> </w:t>
            </w:r>
            <w:r>
              <w:rPr>
                <w:rFonts w:hint="eastAsia" w:ascii="宋体" w:hAnsi="宋体"/>
                <w:sz w:val="28"/>
                <w:szCs w:val="28"/>
              </w:rPr>
              <w:t>■</w:t>
            </w:r>
            <w:r>
              <w:rPr>
                <w:rFonts w:hint="eastAsia"/>
                <w:sz w:val="28"/>
                <w:szCs w:val="28"/>
              </w:rPr>
              <w:t>校准规范</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sz w:val="28"/>
                <w:szCs w:val="28"/>
              </w:rPr>
            </w:pPr>
            <w:r>
              <w:rPr>
                <w:rFonts w:hint="eastAsia" w:ascii="宋体" w:hAnsi="宋体"/>
                <w:sz w:val="28"/>
                <w:szCs w:val="28"/>
              </w:rPr>
              <w:t>计量技术规范类别</w:t>
            </w:r>
          </w:p>
        </w:tc>
        <w:tc>
          <w:tcPr>
            <w:tcW w:w="204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sz w:val="28"/>
                <w:szCs w:val="28"/>
              </w:rPr>
            </w:pPr>
            <w:r>
              <w:rPr>
                <w:rFonts w:hint="eastAsia"/>
                <w:sz w:val="28"/>
                <w:szCs w:val="28"/>
              </w:rPr>
              <w:t>□重点</w:t>
            </w:r>
          </w:p>
          <w:p>
            <w:pPr>
              <w:spacing w:line="400" w:lineRule="exact"/>
              <w:jc w:val="center"/>
              <w:rPr>
                <w:sz w:val="28"/>
                <w:szCs w:val="28"/>
              </w:rPr>
            </w:pPr>
            <w:r>
              <w:rPr>
                <w:rFonts w:hint="eastAsia" w:ascii="宋体" w:hAnsi="宋体"/>
                <w:sz w:val="28"/>
                <w:szCs w:val="28"/>
              </w:rPr>
              <w:t>■</w:t>
            </w:r>
            <w:r>
              <w:rPr>
                <w:rFonts w:hint="eastAsia"/>
                <w:sz w:val="28"/>
                <w:szCs w:val="28"/>
              </w:rPr>
              <w:t>基础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46"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主要起草单位</w:t>
            </w:r>
          </w:p>
        </w:tc>
        <w:tc>
          <w:tcPr>
            <w:tcW w:w="7143" w:type="dxa"/>
            <w:gridSpan w:val="6"/>
            <w:tcBorders>
              <w:top w:val="single" w:color="auto" w:sz="4" w:space="0"/>
              <w:left w:val="single" w:color="auto" w:sz="4" w:space="0"/>
              <w:bottom w:val="single" w:color="auto" w:sz="4" w:space="0"/>
              <w:right w:val="single" w:color="auto" w:sz="4" w:space="0"/>
            </w:tcBorders>
            <w:vAlign w:val="center"/>
          </w:tcPr>
          <w:p>
            <w:pPr>
              <w:ind w:firstLine="1680" w:firstLineChars="700"/>
              <w:rPr>
                <w:sz w:val="28"/>
                <w:szCs w:val="28"/>
              </w:rPr>
            </w:pPr>
            <w:r>
              <w:rPr>
                <w:rFonts w:hint="eastAsia" w:ascii="宋体" w:hAnsi="宋体"/>
                <w:sz w:val="24"/>
              </w:rPr>
              <w:t>工业和信息化部电子第五研究所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7"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color w:val="000000"/>
                <w:sz w:val="28"/>
                <w:szCs w:val="28"/>
              </w:rPr>
            </w:pPr>
            <w:r>
              <w:rPr>
                <w:rFonts w:hint="eastAsia"/>
                <w:color w:val="000000"/>
                <w:sz w:val="28"/>
                <w:szCs w:val="28"/>
              </w:rPr>
              <w:t>联系人</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ind w:firstLine="1260" w:firstLineChars="450"/>
              <w:rPr>
                <w:color w:val="000000"/>
                <w:sz w:val="28"/>
                <w:szCs w:val="28"/>
              </w:rPr>
            </w:pPr>
            <w:r>
              <w:rPr>
                <w:rFonts w:hint="eastAsia"/>
                <w:color w:val="000000"/>
                <w:sz w:val="28"/>
                <w:szCs w:val="28"/>
              </w:rPr>
              <w:t>陈彦</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sz w:val="28"/>
                <w:szCs w:val="28"/>
              </w:rPr>
            </w:pPr>
            <w:r>
              <w:rPr>
                <w:rFonts w:hint="eastAsia"/>
                <w:color w:val="000000"/>
                <w:sz w:val="28"/>
                <w:szCs w:val="28"/>
              </w:rPr>
              <w:t>联系电话</w:t>
            </w:r>
          </w:p>
        </w:tc>
        <w:tc>
          <w:tcPr>
            <w:tcW w:w="2040" w:type="dxa"/>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18925183653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14"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sz w:val="28"/>
                <w:szCs w:val="28"/>
              </w:rPr>
            </w:pPr>
            <w:r>
              <w:rPr>
                <w:rFonts w:hint="eastAsia" w:ascii="宋体" w:hAnsi="宋体"/>
                <w:color w:val="000000"/>
                <w:sz w:val="28"/>
                <w:szCs w:val="28"/>
              </w:rPr>
              <w:t>任务年限</w:t>
            </w:r>
          </w:p>
        </w:tc>
        <w:tc>
          <w:tcPr>
            <w:tcW w:w="3260" w:type="dxa"/>
            <w:gridSpan w:val="3"/>
            <w:tcBorders>
              <w:top w:val="single" w:color="auto" w:sz="4" w:space="0"/>
              <w:left w:val="single" w:color="auto" w:sz="4" w:space="0"/>
              <w:bottom w:val="single" w:color="auto" w:sz="4" w:space="0"/>
              <w:right w:val="single" w:color="auto" w:sz="4" w:space="0"/>
            </w:tcBorders>
            <w:vAlign w:val="center"/>
          </w:tcPr>
          <w:p>
            <w:pPr>
              <w:ind w:firstLine="120" w:firstLineChars="50"/>
              <w:rPr>
                <w:sz w:val="24"/>
                <w:szCs w:val="24"/>
              </w:rPr>
            </w:pPr>
            <w:r>
              <w:rPr>
                <w:rFonts w:hint="eastAsia"/>
                <w:sz w:val="24"/>
                <w:szCs w:val="24"/>
              </w:rPr>
              <w:t>2019年1月～2020年6月</w:t>
            </w:r>
          </w:p>
        </w:tc>
        <w:tc>
          <w:tcPr>
            <w:tcW w:w="1843"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sz w:val="28"/>
                <w:szCs w:val="28"/>
              </w:rPr>
            </w:pPr>
            <w:r>
              <w:rPr>
                <w:rFonts w:hint="eastAsia" w:ascii="宋体" w:hAnsi="宋体"/>
                <w:color w:val="000000"/>
                <w:sz w:val="28"/>
                <w:szCs w:val="28"/>
              </w:rPr>
              <w:t>申请经费</w:t>
            </w:r>
          </w:p>
        </w:tc>
        <w:tc>
          <w:tcPr>
            <w:tcW w:w="2040" w:type="dxa"/>
            <w:tcBorders>
              <w:top w:val="single" w:color="auto" w:sz="4" w:space="0"/>
              <w:left w:val="single" w:color="auto" w:sz="4" w:space="0"/>
              <w:bottom w:val="single" w:color="auto" w:sz="4" w:space="0"/>
              <w:right w:val="single" w:color="auto" w:sz="4" w:space="0"/>
            </w:tcBorders>
            <w:vAlign w:val="center"/>
          </w:tcPr>
          <w:p>
            <w:pPr>
              <w:ind w:firstLine="700" w:firstLineChars="250"/>
              <w:rPr>
                <w:sz w:val="28"/>
                <w:szCs w:val="28"/>
              </w:rPr>
            </w:pPr>
            <w:r>
              <w:rPr>
                <w:rFonts w:hint="eastAsia"/>
                <w:sz w:val="28"/>
                <w:szCs w:val="28"/>
              </w:rPr>
              <w:t>4万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参加单位</w:t>
            </w:r>
          </w:p>
        </w:tc>
        <w:tc>
          <w:tcPr>
            <w:tcW w:w="7143" w:type="dxa"/>
            <w:gridSpan w:val="6"/>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ascii="宋体" w:hAnsi="宋体"/>
                <w:sz w:val="24"/>
              </w:rPr>
              <w:t>广州赛宝计量检测中心服务有限公司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574"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widowControl w:val="0"/>
              <w:jc w:val="center"/>
              <w:rPr>
                <w:rFonts w:hint="eastAsia"/>
                <w:sz w:val="28"/>
                <w:szCs w:val="28"/>
              </w:rPr>
            </w:pPr>
            <w:r>
              <w:rPr>
                <w:rFonts w:hint="eastAsia"/>
                <w:sz w:val="28"/>
                <w:szCs w:val="28"/>
              </w:rPr>
              <w:t>具备的特点</w:t>
            </w:r>
          </w:p>
        </w:tc>
        <w:tc>
          <w:tcPr>
            <w:tcW w:w="7143" w:type="dxa"/>
            <w:gridSpan w:val="6"/>
            <w:tcBorders>
              <w:top w:val="single" w:color="auto" w:sz="4" w:space="0"/>
              <w:left w:val="single" w:color="auto" w:sz="4" w:space="0"/>
              <w:bottom w:val="single" w:color="auto" w:sz="4" w:space="0"/>
              <w:right w:val="single" w:color="auto" w:sz="4" w:space="0"/>
            </w:tcBorders>
            <w:vAlign w:val="center"/>
          </w:tcPr>
          <w:p>
            <w:pPr>
              <w:widowControl w:val="0"/>
              <w:numPr>
                <w:ilvl w:val="0"/>
                <w:numId w:val="1"/>
              </w:numPr>
              <w:ind w:left="35" w:leftChars="-155" w:hanging="360" w:firstLineChars="0"/>
              <w:jc w:val="center"/>
              <w:rPr>
                <w:rFonts w:hint="eastAsia" w:ascii="宋体" w:hAnsi="宋体"/>
                <w:sz w:val="24"/>
              </w:rPr>
            </w:pPr>
            <w:r>
              <w:rPr>
                <w:rFonts w:hint="eastAsia"/>
                <w:sz w:val="28"/>
                <w:szCs w:val="28"/>
              </w:rPr>
              <w:t>安全</w:t>
            </w:r>
            <w:r>
              <w:rPr>
                <w:sz w:val="28"/>
                <w:szCs w:val="28"/>
              </w:rPr>
              <w:t xml:space="preserve"> </w:t>
            </w:r>
            <w:r>
              <w:rPr>
                <w:rFonts w:hint="eastAsia"/>
                <w:sz w:val="28"/>
                <w:szCs w:val="28"/>
              </w:rPr>
              <w:t>□节能</w:t>
            </w:r>
            <w:r>
              <w:rPr>
                <w:sz w:val="28"/>
                <w:szCs w:val="28"/>
              </w:rPr>
              <w:t xml:space="preserve"> </w:t>
            </w:r>
            <w:r>
              <w:rPr>
                <w:rFonts w:hint="eastAsia"/>
                <w:sz w:val="28"/>
                <w:szCs w:val="28"/>
              </w:rPr>
              <w:t>□环保</w:t>
            </w:r>
            <w:r>
              <w:rPr>
                <w:sz w:val="28"/>
                <w:szCs w:val="28"/>
              </w:rPr>
              <w:t xml:space="preserve"> </w:t>
            </w:r>
            <w:r>
              <w:rPr>
                <w:rFonts w:hint="eastAsia" w:ascii="宋体" w:hAnsi="宋体"/>
              </w:rPr>
              <w:t>█</w:t>
            </w:r>
            <w:r>
              <w:rPr>
                <w:rFonts w:hint="eastAsia"/>
                <w:sz w:val="28"/>
                <w:szCs w:val="28"/>
              </w:rPr>
              <w:t>自主创新</w:t>
            </w:r>
            <w:r>
              <w:rPr>
                <w:sz w:val="28"/>
                <w:szCs w:val="28"/>
              </w:rPr>
              <w:t xml:space="preserve"> </w:t>
            </w:r>
            <w:r>
              <w:rPr>
                <w:rFonts w:hint="eastAsia"/>
                <w:sz w:val="28"/>
                <w:szCs w:val="28"/>
              </w:rPr>
              <w:t>□其他</w:t>
            </w:r>
            <w:r>
              <w:rPr>
                <w:sz w:val="28"/>
                <w:szCs w:val="28"/>
              </w:rPr>
              <w:t xml:space="preserve"> </w:t>
            </w:r>
            <w:r>
              <w:rPr>
                <w:rFonts w:hint="eastAsia"/>
                <w:sz w:val="28"/>
                <w:szCs w:val="28"/>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7072"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8"/>
                <w:szCs w:val="28"/>
              </w:rPr>
            </w:pPr>
            <w:r>
              <w:rPr>
                <w:rFonts w:hint="eastAsia"/>
                <w:sz w:val="28"/>
                <w:szCs w:val="28"/>
              </w:rPr>
              <w:t>目的、意义和</w:t>
            </w:r>
          </w:p>
          <w:p>
            <w:pPr>
              <w:spacing w:line="500" w:lineRule="exact"/>
              <w:jc w:val="center"/>
              <w:rPr>
                <w:sz w:val="28"/>
                <w:szCs w:val="28"/>
              </w:rPr>
            </w:pPr>
            <w:r>
              <w:rPr>
                <w:rFonts w:hint="eastAsia"/>
                <w:sz w:val="28"/>
                <w:szCs w:val="28"/>
              </w:rPr>
              <w:t>必要性</w:t>
            </w:r>
          </w:p>
        </w:tc>
        <w:tc>
          <w:tcPr>
            <w:tcW w:w="7143"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jc w:val="both"/>
              <w:outlineLvl w:val="0"/>
              <w:rPr>
                <w:rFonts w:ascii="黑体" w:hAnsi="Arial" w:eastAsia="黑体" w:cs="Arial"/>
                <w:color w:val="333333"/>
                <w:sz w:val="24"/>
                <w:szCs w:val="24"/>
                <w:shd w:val="clear" w:color="auto" w:fill="FFFFFF"/>
              </w:rPr>
            </w:pPr>
            <w:r>
              <w:rPr>
                <w:rFonts w:hint="eastAsia" w:ascii="黑体" w:hAnsi="Arial" w:eastAsia="黑体" w:cs="Arial"/>
                <w:color w:val="333333"/>
                <w:sz w:val="24"/>
                <w:szCs w:val="24"/>
                <w:shd w:val="clear" w:color="auto" w:fill="FFFFFF"/>
              </w:rPr>
              <w:t>1.目的、意义及必要性</w:t>
            </w:r>
          </w:p>
          <w:p>
            <w:pPr>
              <w:spacing w:line="360" w:lineRule="auto"/>
              <w:ind w:firstLine="360" w:firstLineChars="150"/>
              <w:jc w:val="both"/>
              <w:outlineLvl w:val="0"/>
              <w:rPr>
                <w:rFonts w:ascii="Arial" w:hAnsi="Arial" w:cs="Arial"/>
                <w:color w:val="333333"/>
                <w:sz w:val="24"/>
                <w:szCs w:val="24"/>
                <w:shd w:val="clear" w:color="auto" w:fill="FFFFFF"/>
              </w:rPr>
            </w:pPr>
            <w:r>
              <w:rPr>
                <w:rFonts w:ascii="Arial" w:hAnsi="Arial" w:cs="Arial"/>
                <w:color w:val="333333"/>
                <w:sz w:val="24"/>
                <w:szCs w:val="24"/>
                <w:shd w:val="clear" w:color="auto" w:fill="FFFFFF"/>
              </w:rPr>
              <w:t>国际上汽车产业发达的国家已把电磁兼容列为继排放、噪声之后的汽车第三大“污染”问题。为解决汽车的电磁兼容问题，汽车厂家需</w:t>
            </w:r>
            <w:r>
              <w:rPr>
                <w:rFonts w:hint="eastAsia" w:ascii="Arial" w:hAnsi="Arial" w:cs="Arial"/>
                <w:color w:val="333333"/>
                <w:sz w:val="24"/>
                <w:szCs w:val="24"/>
                <w:shd w:val="clear" w:color="auto" w:fill="FFFFFF"/>
              </w:rPr>
              <w:t>要</w:t>
            </w:r>
            <w:r>
              <w:rPr>
                <w:rFonts w:ascii="Arial" w:hAnsi="Arial" w:cs="Arial"/>
                <w:color w:val="333333"/>
                <w:sz w:val="24"/>
                <w:szCs w:val="24"/>
                <w:shd w:val="clear" w:color="auto" w:fill="FFFFFF"/>
              </w:rPr>
              <w:t>建立起一套从整车 EMC 指标向车载电子、电器</w:t>
            </w:r>
            <w:r>
              <w:rPr>
                <w:rFonts w:hint="eastAsia" w:ascii="Arial" w:hAnsi="Arial" w:cs="Arial"/>
                <w:color w:val="333333"/>
                <w:sz w:val="24"/>
                <w:szCs w:val="24"/>
                <w:shd w:val="clear" w:color="auto" w:fill="FFFFFF"/>
              </w:rPr>
              <w:t>的</w:t>
            </w:r>
            <w:r>
              <w:rPr>
                <w:rFonts w:ascii="Arial" w:hAnsi="Arial" w:cs="Arial"/>
                <w:color w:val="333333"/>
                <w:sz w:val="24"/>
                <w:szCs w:val="24"/>
                <w:shd w:val="clear" w:color="auto" w:fill="FFFFFF"/>
              </w:rPr>
              <w:t>EMC指标进行分解的技术体系，加强试验检测和仿真分析，以最终保证整车的电磁兼容性能。</w:t>
            </w:r>
            <w:r>
              <w:rPr>
                <w:rFonts w:ascii="Arial" w:hAnsi="Arial" w:cs="Arial"/>
                <w:color w:val="333333"/>
                <w:sz w:val="24"/>
                <w:szCs w:val="24"/>
              </w:rPr>
              <w:t>目前采用的最直接、最有效的评价方法就是根据相关标准进行</w:t>
            </w:r>
            <w:r>
              <w:rPr>
                <w:rFonts w:hint="eastAsia" w:ascii="Arial" w:hAnsi="Arial" w:cs="Arial"/>
                <w:color w:val="333333"/>
                <w:sz w:val="24"/>
                <w:szCs w:val="24"/>
              </w:rPr>
              <w:t>的电磁兼容</w:t>
            </w:r>
            <w:r>
              <w:rPr>
                <w:rFonts w:ascii="Arial" w:hAnsi="Arial" w:cs="Arial"/>
                <w:color w:val="333333"/>
                <w:sz w:val="24"/>
                <w:szCs w:val="24"/>
              </w:rPr>
              <w:t>测试评估。</w:t>
            </w:r>
            <w:r>
              <w:rPr>
                <w:rFonts w:ascii="Arial" w:hAnsi="Arial" w:cs="Arial"/>
                <w:color w:val="333333"/>
                <w:sz w:val="24"/>
                <w:szCs w:val="24"/>
                <w:shd w:val="clear" w:color="auto" w:fill="FFFFFF"/>
              </w:rPr>
              <w:t>通常在</w:t>
            </w:r>
            <w:r>
              <w:rPr>
                <w:rFonts w:hint="eastAsia" w:ascii="Arial" w:hAnsi="Arial" w:cs="Arial"/>
                <w:color w:val="333333"/>
                <w:sz w:val="24"/>
                <w:szCs w:val="24"/>
                <w:shd w:val="clear" w:color="auto" w:fill="FFFFFF"/>
              </w:rPr>
              <w:t>汽车电子暗室内对汽车整车或元部件的电磁兼容特性进行检测。汽车零部件的EMC辐射发射是考查车内的零部件对车载接收机的干扰情况，该测试不是在传统的测试距离上，如3m和10m的距离上进行的。参照美军标的布置且国际上已有惯例，需要在离地0.9m高，EUT和天线间距1m下进行测量。这种近距离将导致两个突出的问题：一是场地的低频谐振问题；二是低频接收天线的共模干扰问题。因此汽车测试场地的确认要求有别于常见EMC测试场地。</w:t>
            </w:r>
            <w:r>
              <w:rPr>
                <w:rFonts w:asciiTheme="minorEastAsia" w:hAnsiTheme="minorEastAsia"/>
                <w:color w:val="333333"/>
                <w:sz w:val="24"/>
                <w:szCs w:val="24"/>
                <w:shd w:val="clear" w:color="auto" w:fill="FFFFFF"/>
              </w:rPr>
              <w:t>CISPR</w:t>
            </w:r>
            <w:r>
              <w:rPr>
                <w:rFonts w:hint="eastAsia" w:asciiTheme="minorEastAsia" w:hAnsiTheme="minorEastAsia"/>
                <w:color w:val="333333"/>
                <w:sz w:val="24"/>
                <w:szCs w:val="24"/>
                <w:shd w:val="clear" w:color="auto" w:fill="FFFFFF"/>
              </w:rPr>
              <w:t xml:space="preserve"> </w:t>
            </w:r>
            <w:r>
              <w:rPr>
                <w:rFonts w:asciiTheme="minorEastAsia" w:hAnsiTheme="minorEastAsia"/>
                <w:color w:val="333333"/>
                <w:sz w:val="24"/>
                <w:szCs w:val="24"/>
                <w:shd w:val="clear" w:color="auto" w:fill="FFFFFF"/>
              </w:rPr>
              <w:t>16</w:t>
            </w:r>
            <w:r>
              <w:rPr>
                <w:rFonts w:hint="eastAsia" w:asciiTheme="minorEastAsia" w:hAnsiTheme="minorEastAsia"/>
                <w:color w:val="333333"/>
                <w:sz w:val="24"/>
                <w:szCs w:val="24"/>
                <w:shd w:val="clear" w:color="auto" w:fill="FFFFFF"/>
              </w:rPr>
              <w:t>-1-4</w:t>
            </w:r>
            <w:r>
              <w:rPr>
                <w:rFonts w:asciiTheme="minorEastAsia" w:hAnsiTheme="minorEastAsia"/>
                <w:color w:val="333333"/>
                <w:sz w:val="24"/>
                <w:szCs w:val="24"/>
                <w:shd w:val="clear" w:color="auto" w:fill="FFFFFF"/>
              </w:rPr>
              <w:t>给出了我们熟知的</w:t>
            </w:r>
            <w:r>
              <w:rPr>
                <w:rFonts w:hint="eastAsia" w:asciiTheme="minorEastAsia" w:hAnsiTheme="minorEastAsia"/>
                <w:color w:val="333333"/>
                <w:sz w:val="24"/>
                <w:szCs w:val="24"/>
                <w:shd w:val="clear" w:color="auto" w:fill="FFFFFF"/>
              </w:rPr>
              <w:t>电磁兼容</w:t>
            </w:r>
            <w:r>
              <w:rPr>
                <w:rFonts w:asciiTheme="minorEastAsia" w:hAnsiTheme="minorEastAsia"/>
                <w:color w:val="333333"/>
                <w:sz w:val="24"/>
                <w:szCs w:val="24"/>
                <w:shd w:val="clear" w:color="auto" w:fill="FFFFFF"/>
              </w:rPr>
              <w:t>暗室</w:t>
            </w:r>
            <w:r>
              <w:rPr>
                <w:rFonts w:hint="eastAsia" w:asciiTheme="minorEastAsia" w:hAnsiTheme="minorEastAsia"/>
                <w:color w:val="333333"/>
                <w:sz w:val="24"/>
                <w:szCs w:val="24"/>
                <w:shd w:val="clear" w:color="auto" w:fill="FFFFFF"/>
              </w:rPr>
              <w:t>确认</w:t>
            </w:r>
            <w:r>
              <w:rPr>
                <w:rFonts w:asciiTheme="minorEastAsia" w:hAnsiTheme="minorEastAsia"/>
                <w:color w:val="333333"/>
                <w:sz w:val="24"/>
                <w:szCs w:val="24"/>
                <w:shd w:val="clear" w:color="auto" w:fill="FFFFFF"/>
              </w:rPr>
              <w:t>要求NSA、Svswr，</w:t>
            </w:r>
            <w:r>
              <w:rPr>
                <w:rFonts w:hint="eastAsia" w:asciiTheme="minorEastAsia" w:hAnsiTheme="minorEastAsia"/>
                <w:color w:val="333333"/>
                <w:sz w:val="24"/>
                <w:szCs w:val="24"/>
                <w:shd w:val="clear" w:color="auto" w:fill="FFFFFF"/>
              </w:rPr>
              <w:t>但并不适用于</w:t>
            </w:r>
            <w:r>
              <w:rPr>
                <w:rFonts w:asciiTheme="minorEastAsia" w:hAnsiTheme="minorEastAsia"/>
                <w:color w:val="333333"/>
                <w:sz w:val="24"/>
                <w:szCs w:val="24"/>
                <w:shd w:val="clear" w:color="auto" w:fill="FFFFFF"/>
              </w:rPr>
              <w:t>汽车电子</w:t>
            </w:r>
            <w:r>
              <w:rPr>
                <w:rFonts w:hint="eastAsia" w:asciiTheme="minorEastAsia" w:hAnsiTheme="minorEastAsia"/>
                <w:color w:val="333333"/>
                <w:sz w:val="24"/>
                <w:szCs w:val="24"/>
                <w:shd w:val="clear" w:color="auto" w:fill="FFFFFF"/>
              </w:rPr>
              <w:t>暗室。</w:t>
            </w:r>
            <w:r>
              <w:rPr>
                <w:rFonts w:asciiTheme="minorEastAsia" w:hAnsiTheme="minorEastAsia"/>
                <w:color w:val="333333"/>
                <w:sz w:val="24"/>
                <w:szCs w:val="24"/>
                <w:shd w:val="clear" w:color="auto" w:fill="FFFFFF"/>
              </w:rPr>
              <w:t>因此CISPR25也提出了关于汽车电子</w:t>
            </w:r>
            <w:r>
              <w:rPr>
                <w:rFonts w:hint="eastAsia" w:asciiTheme="minorEastAsia" w:hAnsiTheme="minorEastAsia"/>
                <w:color w:val="333333"/>
                <w:sz w:val="24"/>
                <w:szCs w:val="24"/>
                <w:shd w:val="clear" w:color="auto" w:fill="FFFFFF"/>
              </w:rPr>
              <w:t>暗室（</w:t>
            </w:r>
            <w:r>
              <w:rPr>
                <w:rFonts w:asciiTheme="minorEastAsia" w:hAnsiTheme="minorEastAsia"/>
                <w:color w:val="333333"/>
                <w:sz w:val="24"/>
                <w:szCs w:val="24"/>
                <w:shd w:val="clear" w:color="auto" w:fill="FFFFFF"/>
              </w:rPr>
              <w:t>ALSE</w:t>
            </w:r>
            <w:r>
              <w:rPr>
                <w:rFonts w:hint="eastAsia" w:asciiTheme="minorEastAsia" w:hAnsiTheme="minorEastAsia"/>
                <w:color w:val="333333"/>
                <w:sz w:val="24"/>
                <w:szCs w:val="24"/>
                <w:shd w:val="clear" w:color="auto" w:fill="FFFFFF"/>
              </w:rPr>
              <w:t>）</w:t>
            </w:r>
            <w:r>
              <w:rPr>
                <w:rFonts w:asciiTheme="minorEastAsia" w:hAnsiTheme="minorEastAsia"/>
                <w:color w:val="333333"/>
                <w:sz w:val="24"/>
                <w:szCs w:val="24"/>
                <w:shd w:val="clear" w:color="auto" w:fill="FFFFFF"/>
              </w:rPr>
              <w:t>确认方法，在CISPR25:2016版附录J中给出了两种确认方法。一种是参考测量法，一种是长线天线建模法</w:t>
            </w:r>
            <w:r>
              <w:rPr>
                <w:rFonts w:ascii="Helvetica" w:hAnsi="Helvetica"/>
                <w:color w:val="333333"/>
                <w:sz w:val="24"/>
                <w:szCs w:val="24"/>
                <w:shd w:val="clear" w:color="auto" w:fill="FFFFFF"/>
              </w:rPr>
              <w:t>。由于长线天线法操作性比较好，</w:t>
            </w:r>
            <w:r>
              <w:rPr>
                <w:rFonts w:hint="eastAsia" w:ascii="Helvetica" w:hAnsi="Helvetica"/>
                <w:color w:val="333333"/>
                <w:sz w:val="24"/>
                <w:szCs w:val="24"/>
                <w:shd w:val="clear" w:color="auto" w:fill="FFFFFF"/>
              </w:rPr>
              <w:t>目前世界上大部分国家都采用</w:t>
            </w:r>
            <w:r>
              <w:rPr>
                <w:rFonts w:ascii="Helvetica" w:hAnsi="Helvetica"/>
                <w:color w:val="333333"/>
                <w:sz w:val="24"/>
                <w:szCs w:val="24"/>
                <w:shd w:val="clear" w:color="auto" w:fill="FFFFFF"/>
              </w:rPr>
              <w:t>长线天线法</w:t>
            </w:r>
            <w:r>
              <w:rPr>
                <w:rFonts w:hint="eastAsia" w:ascii="Arial" w:hAnsi="Arial" w:cs="Arial"/>
                <w:color w:val="333333"/>
                <w:sz w:val="24"/>
                <w:szCs w:val="24"/>
                <w:shd w:val="clear" w:color="auto" w:fill="FFFFFF"/>
              </w:rPr>
              <w:t>。</w:t>
            </w:r>
          </w:p>
          <w:p>
            <w:pPr>
              <w:spacing w:line="360" w:lineRule="auto"/>
              <w:ind w:firstLine="360" w:firstLineChars="150"/>
              <w:jc w:val="both"/>
              <w:outlineLvl w:val="0"/>
              <w:rPr>
                <w:rFonts w:ascii="Arial" w:hAnsi="Arial" w:cs="Arial"/>
                <w:color w:val="333333"/>
                <w:sz w:val="24"/>
                <w:szCs w:val="24"/>
                <w:shd w:val="clear" w:color="auto" w:fill="FFFFFF"/>
              </w:rPr>
            </w:pPr>
            <w:r>
              <w:rPr>
                <w:rFonts w:hint="eastAsia" w:ascii="Arial" w:hAnsi="Arial" w:cs="Arial"/>
                <w:color w:val="333333"/>
                <w:sz w:val="24"/>
                <w:szCs w:val="24"/>
                <w:shd w:val="clear" w:color="auto" w:fill="FFFFFF"/>
              </w:rPr>
              <w:t>汽车电子暗室本身的性能评价方法是否有效合理，将直接影响汽车电子零部件的质量和可靠性水平，进而影响整车性能。然而，目前我国汽车暗室的校准方法尚不完善，缺少客观一致的确认方法，导致测试关键参数的量值准确性无法保障。此项计量技术规范的研究有利于国内汽车电磁兼容行业测试场地确认的规范化和标准化，可以保证汽车电子设备及整车在不同的测试暗室内获取准确统一度量的量值，保障汽车电磁兼容测试参数的准确可靠，对于汽车行业的发展具有重要意义。</w:t>
            </w:r>
          </w:p>
          <w:p>
            <w:pPr>
              <w:spacing w:line="360" w:lineRule="auto"/>
              <w:ind w:firstLine="360" w:firstLineChars="150"/>
              <w:jc w:val="both"/>
              <w:outlineLvl w:val="0"/>
              <w:rPr>
                <w:rFonts w:ascii="Arial" w:hAnsi="Arial" w:cs="Arial"/>
                <w:color w:val="333333"/>
                <w:sz w:val="24"/>
                <w:szCs w:val="24"/>
              </w:rPr>
            </w:pPr>
            <w:bookmarkStart w:id="0" w:name="_GoBack"/>
            <w:bookmarkEnd w:id="0"/>
          </w:p>
          <w:p>
            <w:pPr>
              <w:spacing w:line="360" w:lineRule="auto"/>
              <w:ind w:firstLine="240" w:firstLineChars="100"/>
              <w:jc w:val="both"/>
              <w:outlineLvl w:val="0"/>
              <w:rPr>
                <w:rFonts w:ascii="黑体" w:hAnsi="Arial" w:eastAsia="黑体" w:cs="Arial"/>
                <w:color w:val="333333"/>
                <w:sz w:val="24"/>
                <w:szCs w:val="24"/>
                <w:shd w:val="clear" w:color="auto" w:fill="FFFFFF"/>
              </w:rPr>
            </w:pPr>
            <w:r>
              <w:rPr>
                <w:rFonts w:hint="eastAsia" w:ascii="黑体" w:hAnsi="Arial" w:eastAsia="黑体" w:cs="Arial"/>
                <w:color w:val="333333"/>
                <w:sz w:val="24"/>
                <w:szCs w:val="24"/>
                <w:shd w:val="clear" w:color="auto" w:fill="FFFFFF"/>
              </w:rPr>
              <w:t>2.先进性</w:t>
            </w:r>
          </w:p>
          <w:p>
            <w:pPr>
              <w:spacing w:line="360" w:lineRule="auto"/>
              <w:ind w:firstLine="480" w:firstLineChars="200"/>
              <w:jc w:val="both"/>
              <w:outlineLvl w:val="0"/>
              <w:rPr>
                <w:rFonts w:cs="Arial" w:asciiTheme="minorEastAsia" w:hAnsiTheme="minorEastAsia"/>
                <w:color w:val="333333"/>
                <w:sz w:val="24"/>
                <w:szCs w:val="24"/>
                <w:shd w:val="clear" w:color="auto" w:fill="FFFFFF"/>
              </w:rPr>
            </w:pPr>
            <w:r>
              <w:rPr>
                <w:rFonts w:hint="eastAsia" w:cs="Arial" w:asciiTheme="minorEastAsia" w:hAnsiTheme="minorEastAsia"/>
                <w:color w:val="333333"/>
                <w:sz w:val="24"/>
                <w:szCs w:val="24"/>
                <w:shd w:val="clear" w:color="auto" w:fill="FFFFFF"/>
              </w:rPr>
              <w:t>汽车电磁兼容检测行业目前在国内处于高速发展阶段，汽车暗室计量确认能力是汽车电磁兼容测试可靠性和准确性的基本保障，此项计量技术规范的研究属于汽车检测行业的前沿基础技术，是汽车行业ISO,IEC,CISPR等国际标准的最新要求。</w:t>
            </w:r>
          </w:p>
          <w:p>
            <w:pPr>
              <w:spacing w:line="360" w:lineRule="auto"/>
              <w:ind w:firstLine="480" w:firstLineChars="200"/>
              <w:jc w:val="both"/>
              <w:outlineLvl w:val="0"/>
              <w:rPr>
                <w:rFonts w:cs="Arial" w:asciiTheme="minorEastAsia" w:hAnsiTheme="minorEastAsia"/>
                <w:color w:val="333333"/>
                <w:sz w:val="24"/>
                <w:szCs w:val="24"/>
                <w:shd w:val="clear" w:color="auto" w:fill="FFFFFF"/>
              </w:rPr>
            </w:pPr>
          </w:p>
          <w:p>
            <w:pPr>
              <w:spacing w:line="360" w:lineRule="auto"/>
              <w:ind w:firstLine="360" w:firstLineChars="150"/>
              <w:jc w:val="both"/>
              <w:outlineLvl w:val="0"/>
              <w:rPr>
                <w:rFonts w:ascii="黑体" w:hAnsi="Arial" w:eastAsia="黑体" w:cs="Arial"/>
                <w:color w:val="333333"/>
                <w:sz w:val="24"/>
                <w:szCs w:val="24"/>
                <w:shd w:val="clear" w:color="auto" w:fill="FFFFFF"/>
              </w:rPr>
            </w:pPr>
            <w:r>
              <w:rPr>
                <w:rFonts w:hint="eastAsia" w:ascii="黑体" w:hAnsi="Arial" w:eastAsia="黑体" w:cs="Arial"/>
                <w:color w:val="333333"/>
                <w:sz w:val="24"/>
                <w:szCs w:val="24"/>
                <w:shd w:val="clear" w:color="auto" w:fill="FFFFFF"/>
              </w:rPr>
              <w:t>3. 社会效益及应用前景</w:t>
            </w:r>
          </w:p>
          <w:p>
            <w:pPr>
              <w:spacing w:line="360" w:lineRule="auto"/>
              <w:ind w:firstLine="480" w:firstLineChars="200"/>
              <w:jc w:val="both"/>
              <w:outlineLvl w:val="0"/>
              <w:rPr>
                <w:rFonts w:cs="Arial" w:asciiTheme="minorEastAsia" w:hAnsiTheme="minorEastAsia"/>
                <w:color w:val="333333"/>
                <w:sz w:val="24"/>
                <w:szCs w:val="24"/>
                <w:shd w:val="clear" w:color="auto" w:fill="FFFFFF"/>
              </w:rPr>
            </w:pPr>
            <w:r>
              <w:rPr>
                <w:rFonts w:hint="eastAsia" w:cs="Times New Roman" w:asciiTheme="minorEastAsia" w:hAnsiTheme="minorEastAsia"/>
                <w:color w:val="000000"/>
                <w:sz w:val="24"/>
                <w:szCs w:val="24"/>
              </w:rPr>
              <w:t>近几年国内</w:t>
            </w:r>
            <w:r>
              <w:rPr>
                <w:rFonts w:hint="eastAsia" w:cs="Arial" w:asciiTheme="minorEastAsia" w:hAnsiTheme="minorEastAsia"/>
                <w:color w:val="333333"/>
                <w:sz w:val="24"/>
                <w:szCs w:val="24"/>
                <w:shd w:val="clear" w:color="auto" w:fill="FFFFFF"/>
              </w:rPr>
              <w:t>汽车电磁兼容检测实验室数量迅速增加，国内也有大量的整车及元部件汽车厂家，有大量汽车暗室迫切需要有能力的机构进行计量确认以保证测试结果的准确性，</w:t>
            </w:r>
            <w:r>
              <w:rPr>
                <w:rFonts w:hint="eastAsia" w:cs="Times New Roman" w:asciiTheme="minorEastAsia" w:hAnsiTheme="minorEastAsia"/>
                <w:color w:val="000000"/>
                <w:sz w:val="24"/>
                <w:szCs w:val="24"/>
              </w:rPr>
              <w:t>急需制定相关的计量技术规范以保证确认结果的一致性和可靠性，特申请编制《汽车暗室校准规范》。通过研究汽车暗室的计量确认方法，可以填补目前国内汽车暗室没有计量确认依据的空白，为其量值溯源提供依据，促进汽车检测行业的发展，为先进电子设备与系统、节能与新能源汽车等中国制造2025重点应用领域的电磁兼容测试提供可靠保障。</w:t>
            </w:r>
          </w:p>
          <w:p>
            <w:pPr>
              <w:spacing w:line="360" w:lineRule="auto"/>
              <w:ind w:firstLine="360" w:firstLineChars="150"/>
              <w:jc w:val="both"/>
              <w:outlineLvl w:val="0"/>
              <w:rPr>
                <w:rFonts w:ascii="黑体" w:hAnsi="Arial" w:eastAsia="黑体" w:cs="Arial"/>
                <w:color w:val="333333"/>
                <w:sz w:val="24"/>
                <w:szCs w:val="24"/>
                <w:shd w:val="clear" w:color="auto" w:fill="FFFFFF"/>
              </w:rPr>
            </w:pPr>
          </w:p>
          <w:p>
            <w:pPr>
              <w:spacing w:line="360" w:lineRule="auto"/>
              <w:ind w:firstLine="360" w:firstLineChars="150"/>
              <w:jc w:val="both"/>
              <w:outlineLvl w:val="0"/>
              <w:rPr>
                <w:rFonts w:ascii="黑体" w:hAnsi="Arial" w:eastAsia="黑体" w:cs="Arial"/>
                <w:color w:val="333333"/>
                <w:sz w:val="24"/>
                <w:szCs w:val="24"/>
                <w:shd w:val="clear" w:color="auto" w:fill="FFFFFF"/>
              </w:rPr>
            </w:pPr>
            <w:r>
              <w:rPr>
                <w:rFonts w:hint="eastAsia" w:ascii="黑体" w:hAnsi="Arial" w:eastAsia="黑体" w:cs="Arial"/>
                <w:color w:val="333333"/>
                <w:sz w:val="24"/>
                <w:szCs w:val="24"/>
                <w:shd w:val="clear" w:color="auto" w:fill="FFFFFF"/>
              </w:rPr>
              <w:t>4.查新结果</w:t>
            </w:r>
          </w:p>
          <w:p>
            <w:pPr>
              <w:spacing w:line="360" w:lineRule="auto"/>
              <w:ind w:firstLine="360" w:firstLineChars="150"/>
              <w:jc w:val="both"/>
              <w:rPr>
                <w:sz w:val="24"/>
                <w:szCs w:val="24"/>
              </w:rPr>
            </w:pPr>
            <w:r>
              <w:rPr>
                <w:rFonts w:hint="eastAsia" w:ascii="Times New Roman" w:hAnsi="Times New Roman" w:eastAsia="宋体" w:cs="Times New Roman"/>
                <w:sz w:val="24"/>
                <w:szCs w:val="24"/>
              </w:rPr>
              <w:t>目前国内汽车暗室计量确认工作还没有相应的国家或部门计量技术规范，缺乏合适的溯源途径，只能参照国内外相应的汽车检测标准或暗室制造厂家的指导性文件，方法不够明确详细，可操作性差，不能全面评价其计量性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85"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范围和主要</w:t>
            </w:r>
          </w:p>
          <w:p>
            <w:pPr>
              <w:jc w:val="center"/>
              <w:rPr>
                <w:sz w:val="28"/>
                <w:szCs w:val="28"/>
              </w:rPr>
            </w:pPr>
            <w:r>
              <w:rPr>
                <w:rFonts w:hint="eastAsia"/>
                <w:sz w:val="28"/>
                <w:szCs w:val="28"/>
              </w:rPr>
              <w:t>计量特性</w:t>
            </w:r>
          </w:p>
        </w:tc>
        <w:tc>
          <w:tcPr>
            <w:tcW w:w="7143" w:type="dxa"/>
            <w:gridSpan w:val="6"/>
            <w:tcBorders>
              <w:top w:val="single" w:color="auto" w:sz="4" w:space="0"/>
              <w:left w:val="single" w:color="auto" w:sz="4" w:space="0"/>
              <w:bottom w:val="single" w:color="auto" w:sz="4" w:space="0"/>
              <w:right w:val="single" w:color="auto" w:sz="4" w:space="0"/>
            </w:tcBorders>
            <w:vAlign w:val="center"/>
          </w:tcPr>
          <w:p>
            <w:pPr>
              <w:snapToGrid w:val="0"/>
              <w:spacing w:line="360" w:lineRule="auto"/>
              <w:jc w:val="both"/>
              <w:rPr>
                <w:rFonts w:ascii="黑体" w:hAnsi="宋体" w:eastAsia="黑体"/>
                <w:sz w:val="24"/>
                <w:szCs w:val="24"/>
              </w:rPr>
            </w:pPr>
            <w:r>
              <w:rPr>
                <w:rFonts w:hint="eastAsia" w:ascii="黑体" w:hAnsi="宋体" w:eastAsia="黑体"/>
                <w:sz w:val="24"/>
                <w:szCs w:val="24"/>
              </w:rPr>
              <w:t>1.适用范围</w:t>
            </w:r>
          </w:p>
          <w:p>
            <w:pPr>
              <w:snapToGrid w:val="0"/>
              <w:spacing w:line="360" w:lineRule="auto"/>
              <w:ind w:firstLine="480" w:firstLineChars="200"/>
              <w:jc w:val="both"/>
              <w:rPr>
                <w:rFonts w:ascii="宋体" w:hAnsi="宋体"/>
                <w:sz w:val="24"/>
                <w:szCs w:val="24"/>
              </w:rPr>
            </w:pPr>
            <w:r>
              <w:rPr>
                <w:rFonts w:hint="eastAsia" w:ascii="宋体" w:hAnsi="宋体"/>
                <w:sz w:val="24"/>
                <w:szCs w:val="24"/>
              </w:rPr>
              <w:t>本规范适用于采用长线天线模型法汽车暗室的计量性能确认</w:t>
            </w:r>
            <w:r>
              <w:rPr>
                <w:rFonts w:ascii="宋体" w:hAnsi="宋体"/>
                <w:sz w:val="24"/>
                <w:szCs w:val="24"/>
              </w:rPr>
              <w:t>。</w:t>
            </w:r>
          </w:p>
          <w:p>
            <w:pPr>
              <w:snapToGrid w:val="0"/>
              <w:spacing w:line="360" w:lineRule="auto"/>
              <w:jc w:val="both"/>
              <w:rPr>
                <w:rFonts w:ascii="黑体" w:hAnsi="宋体" w:eastAsia="黑体"/>
                <w:sz w:val="24"/>
                <w:szCs w:val="24"/>
              </w:rPr>
            </w:pPr>
            <w:r>
              <w:rPr>
                <w:rFonts w:hint="eastAsia" w:ascii="黑体" w:hAnsi="宋体" w:eastAsia="黑体"/>
                <w:sz w:val="24"/>
                <w:szCs w:val="24"/>
              </w:rPr>
              <w:t>2.计量特性</w:t>
            </w:r>
          </w:p>
          <w:p>
            <w:pPr>
              <w:snapToGrid w:val="0"/>
              <w:spacing w:line="360" w:lineRule="auto"/>
              <w:ind w:firstLine="480" w:firstLineChars="200"/>
              <w:jc w:val="both"/>
              <w:rPr>
                <w:rFonts w:asciiTheme="minorEastAsia" w:hAnsiTheme="minorEastAsia"/>
                <w:sz w:val="24"/>
                <w:szCs w:val="24"/>
              </w:rPr>
            </w:pPr>
            <w:r>
              <w:rPr>
                <w:rFonts w:hint="eastAsia" w:asciiTheme="minorEastAsia" w:hAnsiTheme="minorEastAsia"/>
                <w:sz w:val="24"/>
                <w:szCs w:val="24"/>
              </w:rPr>
              <w:t>等效场强测量频率范围：0.15M</w:t>
            </w:r>
            <w:r>
              <w:rPr>
                <w:rFonts w:asciiTheme="minorEastAsia" w:hAnsiTheme="minorEastAsia"/>
                <w:sz w:val="24"/>
                <w:szCs w:val="24"/>
              </w:rPr>
              <w:t>Hz～</w:t>
            </w:r>
            <w:r>
              <w:rPr>
                <w:rFonts w:hint="eastAsia" w:asciiTheme="minorEastAsia" w:hAnsiTheme="minorEastAsia"/>
                <w:sz w:val="24"/>
                <w:szCs w:val="24"/>
              </w:rPr>
              <w:t>1000</w:t>
            </w:r>
            <w:r>
              <w:rPr>
                <w:rFonts w:asciiTheme="minorEastAsia" w:hAnsiTheme="minorEastAsia"/>
                <w:sz w:val="24"/>
                <w:szCs w:val="24"/>
              </w:rPr>
              <w:t>MHz</w:t>
            </w:r>
            <w:r>
              <w:rPr>
                <w:rFonts w:hint="eastAsia" w:asciiTheme="minorEastAsia" w:hAnsiTheme="minorEastAsia"/>
                <w:sz w:val="24"/>
                <w:szCs w:val="24"/>
              </w:rPr>
              <w:t>。</w:t>
            </w:r>
          </w:p>
          <w:p>
            <w:pPr>
              <w:snapToGrid w:val="0"/>
              <w:spacing w:line="360" w:lineRule="auto"/>
              <w:ind w:firstLine="480" w:firstLineChars="200"/>
              <w:jc w:val="both"/>
              <w:rPr>
                <w:rFonts w:asciiTheme="minorEastAsia" w:hAnsiTheme="minorEastAsia"/>
                <w:sz w:val="24"/>
                <w:szCs w:val="24"/>
              </w:rPr>
            </w:pPr>
            <w:r>
              <w:rPr>
                <w:rFonts w:hint="eastAsia" w:asciiTheme="minorEastAsia" w:hAnsiTheme="minorEastAsia"/>
                <w:sz w:val="24"/>
                <w:szCs w:val="24"/>
              </w:rPr>
              <w:t>等效场强测量天线距离：1m。</w:t>
            </w:r>
          </w:p>
          <w:p>
            <w:pPr>
              <w:snapToGrid w:val="0"/>
              <w:spacing w:line="360" w:lineRule="auto"/>
              <w:ind w:firstLine="240" w:firstLineChars="100"/>
              <w:jc w:val="both"/>
              <w:rPr>
                <w:rFonts w:asciiTheme="minorEastAsia" w:hAnsiTheme="minorEastAsia"/>
                <w:sz w:val="24"/>
                <w:szCs w:val="24"/>
              </w:rPr>
            </w:pPr>
            <w:r>
              <w:rPr>
                <w:rFonts w:hint="eastAsia" w:asciiTheme="minorEastAsia" w:hAnsiTheme="minorEastAsia"/>
                <w:sz w:val="24"/>
                <w:szCs w:val="24"/>
              </w:rPr>
              <w:t xml:space="preserve">  汽车暗室符合性判定：被确认的汽车暗室中测量得到的等效电场强度数据与标准参考数据进行比较，在0.15M</w:t>
            </w:r>
            <w:r>
              <w:rPr>
                <w:rFonts w:asciiTheme="minorEastAsia" w:hAnsiTheme="minorEastAsia"/>
                <w:sz w:val="24"/>
                <w:szCs w:val="24"/>
              </w:rPr>
              <w:t>Hz～</w:t>
            </w:r>
            <w:r>
              <w:rPr>
                <w:rFonts w:hint="eastAsia" w:asciiTheme="minorEastAsia" w:hAnsiTheme="minorEastAsia"/>
                <w:sz w:val="24"/>
                <w:szCs w:val="24"/>
              </w:rPr>
              <w:t>1000</w:t>
            </w:r>
            <w:r>
              <w:rPr>
                <w:rFonts w:asciiTheme="minorEastAsia" w:hAnsiTheme="minorEastAsia"/>
                <w:sz w:val="24"/>
                <w:szCs w:val="24"/>
              </w:rPr>
              <w:t>MHz</w:t>
            </w:r>
            <w:r>
              <w:rPr>
                <w:rFonts w:hint="eastAsia" w:cs="Times New Roman" w:asciiTheme="minorEastAsia" w:hAnsiTheme="minorEastAsia"/>
                <w:sz w:val="24"/>
                <w:szCs w:val="24"/>
              </w:rPr>
              <w:t>整个频段范围内差值满足</w:t>
            </w:r>
            <w:r>
              <w:rPr>
                <w:rFonts w:cs="Times New Roman" w:asciiTheme="minorEastAsia" w:hAnsiTheme="minorEastAsia"/>
                <w:sz w:val="24"/>
                <w:szCs w:val="24"/>
              </w:rPr>
              <w:t>±6dB</w:t>
            </w:r>
            <w:r>
              <w:rPr>
                <w:rFonts w:hint="eastAsia" w:cs="Times New Roman" w:asciiTheme="minorEastAsia" w:hAnsiTheme="minorEastAsia"/>
                <w:sz w:val="24"/>
                <w:szCs w:val="24"/>
              </w:rPr>
              <w:t>要求的数据点的总百分比</w:t>
            </w:r>
            <w:r>
              <w:rPr>
                <w:rFonts w:hint="eastAsia" w:asciiTheme="minorEastAsia" w:hAnsiTheme="minorEastAsia"/>
                <w:sz w:val="24"/>
                <w:szCs w:val="24"/>
              </w:rPr>
              <w:t>≥</w:t>
            </w:r>
            <w:r>
              <w:rPr>
                <w:rFonts w:asciiTheme="minorEastAsia" w:hAnsiTheme="minorEastAsia"/>
                <w:sz w:val="24"/>
                <w:szCs w:val="24"/>
              </w:rPr>
              <w:t>90%</w:t>
            </w:r>
            <w:r>
              <w:rPr>
                <w:rFonts w:hint="eastAsia" w:asciiTheme="minorEastAsia" w:hAnsiTheme="minorEastAsia"/>
                <w:sz w:val="24"/>
                <w:szCs w:val="24"/>
              </w:rPr>
              <w:t>，则符合要求。</w:t>
            </w:r>
          </w:p>
          <w:p>
            <w:pPr>
              <w:snapToGrid w:val="0"/>
              <w:spacing w:line="360" w:lineRule="auto"/>
              <w:ind w:firstLine="240" w:firstLineChars="100"/>
              <w:jc w:val="both"/>
              <w:rPr>
                <w:rFonts w:asciiTheme="minorEastAsia" w:hAnsiTheme="minorEastAsia"/>
                <w:sz w:val="24"/>
                <w:szCs w:val="24"/>
              </w:rPr>
            </w:pPr>
            <w:r>
              <w:rPr>
                <w:rFonts w:hint="eastAsia" w:asciiTheme="minorEastAsia" w:hAnsiTheme="minorEastAsia"/>
                <w:sz w:val="24"/>
                <w:szCs w:val="24"/>
              </w:rPr>
              <w:t xml:space="preserve">  标准参考数据：由CISPR 25采用建模技术计算明确给出。</w:t>
            </w:r>
          </w:p>
          <w:p>
            <w:pPr>
              <w:snapToGrid w:val="0"/>
              <w:spacing w:line="360" w:lineRule="auto"/>
              <w:jc w:val="both"/>
              <w:rPr>
                <w:rFonts w:ascii="黑体" w:eastAsia="黑体" w:hAnsiTheme="minorEastAsia"/>
                <w:sz w:val="24"/>
                <w:szCs w:val="24"/>
              </w:rPr>
            </w:pPr>
            <w:r>
              <w:rPr>
                <w:rFonts w:hint="eastAsia" w:ascii="黑体" w:eastAsia="黑体" w:hAnsiTheme="minorEastAsia"/>
                <w:sz w:val="24"/>
                <w:szCs w:val="24"/>
              </w:rPr>
              <w:t>3.主要标准器的技术指标</w:t>
            </w:r>
          </w:p>
          <w:p>
            <w:pPr>
              <w:widowControl w:val="0"/>
              <w:snapToGrid w:val="0"/>
              <w:spacing w:line="360" w:lineRule="auto"/>
              <w:jc w:val="both"/>
              <w:rPr>
                <w:rFonts w:asciiTheme="minorEastAsia" w:hAnsiTheme="minorEastAsia"/>
                <w:sz w:val="24"/>
                <w:szCs w:val="24"/>
              </w:rPr>
            </w:pPr>
            <w:r>
              <w:rPr>
                <w:rFonts w:hint="eastAsia" w:ascii="黑体" w:eastAsia="黑体" w:hAnsiTheme="minorEastAsia"/>
                <w:sz w:val="24"/>
                <w:szCs w:val="24"/>
              </w:rPr>
              <w:t>网络分析仪：</w:t>
            </w:r>
            <w:r>
              <w:rPr>
                <w:rFonts w:hint="eastAsia" w:asciiTheme="minorEastAsia" w:hAnsiTheme="minorEastAsia"/>
                <w:sz w:val="24"/>
                <w:szCs w:val="24"/>
              </w:rPr>
              <w:t xml:space="preserve">  频率范围：9kHz～8.5GHz,输出电平：-20dBm～10dBm</w:t>
            </w:r>
          </w:p>
          <w:p>
            <w:pPr>
              <w:widowControl w:val="0"/>
              <w:snapToGrid w:val="0"/>
              <w:spacing w:line="360" w:lineRule="auto"/>
              <w:jc w:val="both"/>
              <w:rPr>
                <w:rFonts w:ascii="宋体" w:hAnsi="宋体" w:eastAsia="宋体"/>
                <w:sz w:val="24"/>
                <w:szCs w:val="24"/>
              </w:rPr>
            </w:pPr>
            <w:r>
              <w:rPr>
                <w:rFonts w:hint="eastAsia" w:ascii="黑体" w:hAnsi="宋体" w:eastAsia="黑体"/>
                <w:sz w:val="24"/>
                <w:szCs w:val="24"/>
              </w:rPr>
              <w:t>双锥天线：</w:t>
            </w:r>
            <w:r>
              <w:rPr>
                <w:rFonts w:hint="eastAsia" w:ascii="宋体" w:hAnsi="宋体" w:eastAsia="宋体"/>
                <w:sz w:val="24"/>
                <w:szCs w:val="24"/>
              </w:rPr>
              <w:t xml:space="preserve">    具有1m法准确测量的天线系数（水平和垂直极化）</w:t>
            </w:r>
          </w:p>
          <w:p>
            <w:pPr>
              <w:widowControl w:val="0"/>
              <w:snapToGrid w:val="0"/>
              <w:spacing w:line="360" w:lineRule="auto"/>
              <w:jc w:val="both"/>
              <w:rPr>
                <w:rFonts w:ascii="宋体" w:hAnsi="宋体" w:eastAsia="宋体"/>
                <w:sz w:val="24"/>
                <w:szCs w:val="24"/>
              </w:rPr>
            </w:pPr>
            <w:r>
              <w:rPr>
                <w:rFonts w:hint="eastAsia" w:ascii="黑体" w:hAnsi="宋体" w:eastAsia="黑体"/>
                <w:sz w:val="24"/>
                <w:szCs w:val="24"/>
              </w:rPr>
              <w:t>对数周期天线</w:t>
            </w:r>
            <w:r>
              <w:rPr>
                <w:rFonts w:hint="eastAsia" w:ascii="宋体" w:hAnsi="宋体" w:eastAsia="宋体"/>
                <w:sz w:val="24"/>
                <w:szCs w:val="24"/>
              </w:rPr>
              <w:t>：具有1m法准确测量的天线系数（水平和垂直极化）</w:t>
            </w:r>
          </w:p>
          <w:p>
            <w:pPr>
              <w:widowControl w:val="0"/>
              <w:snapToGrid w:val="0"/>
              <w:spacing w:line="360" w:lineRule="auto"/>
              <w:jc w:val="both"/>
              <w:rPr>
                <w:rFonts w:asciiTheme="minorEastAsia" w:hAnsiTheme="minorEastAsia"/>
                <w:sz w:val="24"/>
                <w:szCs w:val="24"/>
              </w:rPr>
            </w:pPr>
            <w:r>
              <w:rPr>
                <w:rFonts w:hint="eastAsia" w:ascii="黑体" w:eastAsia="黑体" w:hAnsiTheme="minorEastAsia"/>
                <w:sz w:val="24"/>
                <w:szCs w:val="24"/>
              </w:rPr>
              <w:t>杆天线:</w:t>
            </w:r>
            <w:r>
              <w:rPr>
                <w:rFonts w:hint="eastAsia" w:asciiTheme="minorEastAsia" w:hAnsiTheme="minorEastAsia"/>
                <w:sz w:val="24"/>
                <w:szCs w:val="24"/>
              </w:rPr>
              <w:t xml:space="preserve">       具有1m法准确的天线系数（垂直）</w:t>
            </w:r>
          </w:p>
          <w:p>
            <w:pPr>
              <w:snapToGrid w:val="0"/>
              <w:spacing w:line="360" w:lineRule="auto"/>
              <w:jc w:val="both"/>
              <w:rPr>
                <w:rFonts w:asciiTheme="minorEastAsia" w:hAnsiTheme="minorEastAsia"/>
                <w:sz w:val="24"/>
                <w:szCs w:val="24"/>
              </w:rPr>
            </w:pPr>
            <w:r>
              <w:rPr>
                <w:rFonts w:hint="eastAsia" w:ascii="黑体" w:eastAsia="黑体" w:hAnsiTheme="minorEastAsia"/>
                <w:sz w:val="24"/>
                <w:szCs w:val="24"/>
              </w:rPr>
              <w:t xml:space="preserve">长线天线: </w:t>
            </w:r>
            <w:r>
              <w:rPr>
                <w:rFonts w:hint="eastAsia" w:asciiTheme="minorEastAsia" w:hAnsiTheme="minorEastAsia"/>
                <w:sz w:val="24"/>
                <w:szCs w:val="24"/>
              </w:rPr>
              <w:t xml:space="preserve"> 长线天线是一个直径为(4 ± 0.2) mm的黄铜杆，位于参考接地平面上方(50±2)mm处（即参考接地平面和黄铜杆的最近点之间的距离），且平行于参考接地平面的前边沿。参考接地平面边沿和黄铜杆之间的水平距离为(100 ± 2) mm。黄铜杆由两个间隔距离为(500±5)mm的金属角板支撑，N型连接器集成在支撑黄铜杆的角板上。</w:t>
            </w:r>
          </w:p>
          <w:p>
            <w:pPr>
              <w:snapToGrid w:val="0"/>
              <w:spacing w:line="360" w:lineRule="auto"/>
              <w:jc w:val="both"/>
              <w:rPr>
                <w:rFonts w:asciiTheme="minorEastAsia" w:hAnsiTheme="minorEastAsia"/>
                <w:sz w:val="24"/>
                <w:szCs w:val="24"/>
              </w:rPr>
            </w:pPr>
          </w:p>
          <w:p>
            <w:pPr>
              <w:snapToGrid w:val="0"/>
              <w:spacing w:line="360" w:lineRule="auto"/>
              <w:jc w:val="both"/>
              <w:rPr>
                <w:rFonts w:ascii="黑体" w:hAnsi="宋体" w:eastAsia="黑体"/>
                <w:sz w:val="24"/>
                <w:szCs w:val="24"/>
              </w:rPr>
            </w:pPr>
            <w:r>
              <w:rPr>
                <w:rFonts w:hint="eastAsia" w:ascii="黑体" w:hAnsi="宋体" w:eastAsia="黑体"/>
                <w:sz w:val="24"/>
                <w:szCs w:val="24"/>
              </w:rPr>
              <w:t>4.校准项目</w:t>
            </w:r>
          </w:p>
          <w:p>
            <w:pPr>
              <w:spacing w:line="360" w:lineRule="auto"/>
              <w:ind w:firstLine="600" w:firstLineChars="250"/>
              <w:jc w:val="both"/>
              <w:rPr>
                <w:rFonts w:ascii="宋体" w:hAnsi="宋体"/>
                <w:sz w:val="24"/>
                <w:szCs w:val="24"/>
              </w:rPr>
            </w:pPr>
            <w:r>
              <w:rPr>
                <w:rFonts w:hint="eastAsia" w:ascii="宋体" w:hAnsi="宋体"/>
                <w:sz w:val="24"/>
                <w:szCs w:val="24"/>
              </w:rPr>
              <w:t>等效场强测量</w:t>
            </w:r>
          </w:p>
          <w:p>
            <w:pPr>
              <w:snapToGrid w:val="0"/>
              <w:spacing w:line="360" w:lineRule="auto"/>
              <w:jc w:val="both"/>
              <w:rPr>
                <w:rFonts w:ascii="黑体" w:hAnsi="宋体" w:eastAsia="黑体"/>
                <w:sz w:val="24"/>
                <w:szCs w:val="24"/>
              </w:rPr>
            </w:pPr>
            <w:r>
              <w:rPr>
                <w:rFonts w:hint="eastAsia" w:ascii="黑体" w:hAnsi="宋体" w:eastAsia="黑体"/>
                <w:sz w:val="24"/>
                <w:szCs w:val="24"/>
              </w:rPr>
              <w:t>5.校准方法</w:t>
            </w:r>
          </w:p>
          <w:p>
            <w:pPr>
              <w:snapToGrid w:val="0"/>
              <w:spacing w:line="360" w:lineRule="auto"/>
              <w:ind w:firstLine="480" w:firstLineChars="200"/>
              <w:jc w:val="both"/>
              <w:rPr>
                <w:rFonts w:asciiTheme="minorEastAsia" w:hAnsiTheme="minorEastAsia"/>
                <w:sz w:val="24"/>
                <w:szCs w:val="24"/>
              </w:rPr>
            </w:pPr>
            <w:r>
              <w:rPr>
                <w:rFonts w:hint="eastAsia" w:asciiTheme="minorEastAsia" w:hAnsiTheme="minorEastAsia"/>
                <w:sz w:val="24"/>
                <w:szCs w:val="24"/>
              </w:rPr>
              <w:t>长线天线法是专门针对汽车电子电磁兼容测试特点而确定的场地确认方法，与传统EMC暗室确认方法在测试距离</w:t>
            </w:r>
            <w:r>
              <w:rPr>
                <w:rFonts w:cs="Arial" w:asciiTheme="minorEastAsia" w:hAnsiTheme="minorEastAsia"/>
                <w:color w:val="333333"/>
                <w:sz w:val="24"/>
                <w:szCs w:val="24"/>
              </w:rPr>
              <w:t>、</w:t>
            </w:r>
            <w:r>
              <w:rPr>
                <w:rFonts w:hint="eastAsia" w:asciiTheme="minorEastAsia" w:hAnsiTheme="minorEastAsia"/>
                <w:sz w:val="24"/>
                <w:szCs w:val="24"/>
              </w:rPr>
              <w:t>场地布置和判定方法上有本质区别。在1m的测试距离下，主要使用设备和基本原理如下：发射天线：长线天线</w:t>
            </w:r>
          </w:p>
          <w:p>
            <w:pPr>
              <w:snapToGrid w:val="0"/>
              <w:spacing w:line="360" w:lineRule="auto"/>
              <w:ind w:firstLine="1440" w:firstLineChars="600"/>
              <w:jc w:val="both"/>
              <w:rPr>
                <w:rFonts w:asciiTheme="minorEastAsia" w:hAnsiTheme="minorEastAsia"/>
                <w:sz w:val="24"/>
                <w:szCs w:val="24"/>
              </w:rPr>
            </w:pPr>
            <w:r>
              <w:rPr>
                <w:rFonts w:hint="eastAsia" w:asciiTheme="minorEastAsia" w:hAnsiTheme="minorEastAsia"/>
                <w:sz w:val="24"/>
                <w:szCs w:val="24"/>
              </w:rPr>
              <w:t>接收天线：杆天线</w:t>
            </w:r>
            <w:r>
              <w:rPr>
                <w:rFonts w:cs="Arial" w:asciiTheme="minorEastAsia" w:hAnsiTheme="minorEastAsia"/>
                <w:color w:val="333333"/>
                <w:sz w:val="24"/>
                <w:szCs w:val="24"/>
              </w:rPr>
              <w:t>、</w:t>
            </w:r>
            <w:r>
              <w:rPr>
                <w:rFonts w:hint="eastAsia" w:asciiTheme="minorEastAsia" w:hAnsiTheme="minorEastAsia"/>
                <w:sz w:val="24"/>
                <w:szCs w:val="24"/>
              </w:rPr>
              <w:t>双锥天线</w:t>
            </w:r>
            <w:r>
              <w:rPr>
                <w:rFonts w:cs="Arial" w:asciiTheme="minorEastAsia" w:hAnsiTheme="minorEastAsia"/>
                <w:color w:val="333333"/>
                <w:sz w:val="24"/>
                <w:szCs w:val="24"/>
              </w:rPr>
              <w:t>、</w:t>
            </w:r>
            <w:r>
              <w:rPr>
                <w:rFonts w:hint="eastAsia" w:asciiTheme="minorEastAsia" w:hAnsiTheme="minorEastAsia"/>
                <w:sz w:val="24"/>
                <w:szCs w:val="24"/>
              </w:rPr>
              <w:t>对数周期天线</w:t>
            </w:r>
          </w:p>
          <w:p>
            <w:pPr>
              <w:spacing w:line="360" w:lineRule="auto"/>
              <w:jc w:val="both"/>
              <w:rPr>
                <w:rFonts w:asciiTheme="minorEastAsia" w:hAnsiTheme="minorEastAsia"/>
                <w:sz w:val="24"/>
                <w:szCs w:val="24"/>
              </w:rPr>
            </w:pPr>
            <w:r>
              <w:rPr>
                <w:rFonts w:hint="eastAsia" w:asciiTheme="minorEastAsia" w:hAnsiTheme="minorEastAsia"/>
                <w:sz w:val="24"/>
                <w:szCs w:val="24"/>
              </w:rPr>
              <w:t>1）首先使用网络分析仪进行“直通”测量，长线天线的输入端电缆和接收天线的输出端电缆直接相连，进行归一化参考测量；</w:t>
            </w:r>
          </w:p>
          <w:p>
            <w:pPr>
              <w:spacing w:line="360" w:lineRule="auto"/>
              <w:jc w:val="both"/>
              <w:rPr>
                <w:rFonts w:asciiTheme="minorEastAsia" w:hAnsiTheme="minorEastAsia"/>
                <w:sz w:val="24"/>
                <w:szCs w:val="24"/>
              </w:rPr>
            </w:pPr>
            <w:r>
              <w:rPr>
                <w:rFonts w:hint="eastAsia" w:asciiTheme="minorEastAsia" w:hAnsiTheme="minorEastAsia"/>
                <w:sz w:val="24"/>
                <w:szCs w:val="24"/>
              </w:rPr>
              <w:t>2）然后将输入端电缆连接到长线天线上10dB衰减器的输入端，接收天线电缆连接接收天线和接收设备，测量得到参数</w:t>
            </w:r>
            <w:r>
              <w:rPr>
                <w:rFonts w:hint="eastAsia" w:asciiTheme="minorEastAsia" w:hAnsiTheme="minorEastAsia"/>
                <w:i/>
                <w:iCs/>
                <w:sz w:val="24"/>
                <w:szCs w:val="24"/>
              </w:rPr>
              <w:t>S</w:t>
            </w:r>
            <w:r>
              <w:rPr>
                <w:rFonts w:hint="eastAsia" w:asciiTheme="minorEastAsia" w:hAnsiTheme="minorEastAsia"/>
                <w:sz w:val="24"/>
                <w:szCs w:val="24"/>
                <w:vertAlign w:val="subscript"/>
              </w:rPr>
              <w:t xml:space="preserve">21 </w:t>
            </w:r>
            <w:r>
              <w:rPr>
                <w:rFonts w:hint="eastAsia" w:asciiTheme="minorEastAsia" w:hAnsiTheme="minorEastAsia"/>
                <w:sz w:val="24"/>
                <w:szCs w:val="24"/>
              </w:rPr>
              <w:t>。根据</w:t>
            </w:r>
            <w:r>
              <w:rPr>
                <w:rFonts w:hint="eastAsia" w:asciiTheme="minorEastAsia" w:hAnsiTheme="minorEastAsia"/>
                <w:i/>
                <w:iCs/>
                <w:sz w:val="24"/>
                <w:szCs w:val="24"/>
              </w:rPr>
              <w:t>S</w:t>
            </w:r>
            <w:r>
              <w:rPr>
                <w:rFonts w:hint="eastAsia" w:asciiTheme="minorEastAsia" w:hAnsiTheme="minorEastAsia"/>
                <w:sz w:val="24"/>
                <w:szCs w:val="24"/>
                <w:vertAlign w:val="subscript"/>
              </w:rPr>
              <w:t>21</w:t>
            </w:r>
            <w:r>
              <w:rPr>
                <w:rFonts w:hint="eastAsia" w:asciiTheme="minorEastAsia" w:hAnsiTheme="minorEastAsia"/>
                <w:sz w:val="24"/>
                <w:szCs w:val="24"/>
              </w:rPr>
              <w:t>和接收天线的天线系数</w:t>
            </w:r>
            <w:r>
              <w:rPr>
                <w:rFonts w:hint="eastAsia" w:asciiTheme="minorEastAsia" w:hAnsiTheme="minorEastAsia"/>
                <w:i/>
                <w:iCs/>
                <w:sz w:val="24"/>
                <w:szCs w:val="24"/>
              </w:rPr>
              <w:t>K</w:t>
            </w:r>
            <w:r>
              <w:rPr>
                <w:rFonts w:hint="eastAsia" w:asciiTheme="minorEastAsia" w:hAnsiTheme="minorEastAsia"/>
                <w:sz w:val="24"/>
                <w:szCs w:val="24"/>
              </w:rPr>
              <w:t>可推导出每个频点的等效场强Eeq,计算公式：</w:t>
            </w:r>
          </w:p>
          <w:p>
            <w:pPr>
              <w:spacing w:line="360" w:lineRule="auto"/>
              <w:jc w:val="both"/>
              <w:rPr>
                <w:rFonts w:asciiTheme="minorEastAsia" w:hAnsiTheme="minorEastAsia"/>
                <w:sz w:val="24"/>
                <w:szCs w:val="24"/>
              </w:rPr>
            </w:pPr>
            <w:r>
              <w:rPr>
                <w:rFonts w:hint="eastAsia" w:asciiTheme="minorEastAsia" w:hAnsiTheme="minorEastAsia"/>
                <w:sz w:val="24"/>
                <w:szCs w:val="24"/>
              </w:rPr>
              <w:t xml:space="preserve">             Eeq=120+ </w:t>
            </w:r>
            <w:r>
              <w:rPr>
                <w:rFonts w:hint="eastAsia" w:asciiTheme="minorEastAsia" w:hAnsiTheme="minorEastAsia"/>
                <w:i/>
                <w:iCs/>
                <w:sz w:val="24"/>
                <w:szCs w:val="24"/>
              </w:rPr>
              <w:t>S</w:t>
            </w:r>
            <w:r>
              <w:rPr>
                <w:rFonts w:hint="eastAsia" w:asciiTheme="minorEastAsia" w:hAnsiTheme="minorEastAsia"/>
                <w:sz w:val="24"/>
                <w:szCs w:val="24"/>
                <w:vertAlign w:val="subscript"/>
              </w:rPr>
              <w:t xml:space="preserve">21 </w:t>
            </w:r>
            <w:r>
              <w:rPr>
                <w:rFonts w:hint="eastAsia" w:asciiTheme="minorEastAsia" w:hAnsiTheme="minorEastAsia"/>
                <w:sz w:val="24"/>
                <w:szCs w:val="24"/>
              </w:rPr>
              <w:t>+</w:t>
            </w:r>
            <w:r>
              <w:rPr>
                <w:rFonts w:hint="eastAsia" w:asciiTheme="minorEastAsia" w:hAnsiTheme="minorEastAsia"/>
                <w:i/>
                <w:iCs/>
                <w:sz w:val="24"/>
                <w:szCs w:val="24"/>
              </w:rPr>
              <w:t xml:space="preserve"> K</w:t>
            </w:r>
          </w:p>
          <w:p>
            <w:pPr>
              <w:spacing w:line="360" w:lineRule="auto"/>
              <w:jc w:val="both"/>
              <w:rPr>
                <w:rFonts w:asciiTheme="minorEastAsia" w:hAnsiTheme="minorEastAsia"/>
                <w:sz w:val="24"/>
                <w:szCs w:val="24"/>
              </w:rPr>
            </w:pPr>
            <w:r>
              <w:rPr>
                <w:rFonts w:hint="eastAsia" w:asciiTheme="minorEastAsia" w:hAnsiTheme="minorEastAsia"/>
                <w:i/>
                <w:iCs/>
                <w:sz w:val="24"/>
                <w:szCs w:val="24"/>
              </w:rPr>
              <w:t xml:space="preserve">   Eeq---</w:t>
            </w:r>
            <w:r>
              <w:rPr>
                <w:rFonts w:hint="eastAsia" w:asciiTheme="minorEastAsia" w:hAnsiTheme="minorEastAsia"/>
                <w:sz w:val="24"/>
                <w:szCs w:val="24"/>
              </w:rPr>
              <w:t>每个频率点的等效场强,单位为分贝微伏每米dB（μV/m）</w:t>
            </w:r>
          </w:p>
          <w:p>
            <w:pPr>
              <w:spacing w:line="360" w:lineRule="auto"/>
              <w:jc w:val="both"/>
              <w:rPr>
                <w:rFonts w:asciiTheme="minorEastAsia" w:hAnsiTheme="minorEastAsia"/>
                <w:sz w:val="24"/>
                <w:szCs w:val="24"/>
              </w:rPr>
            </w:pPr>
            <w:r>
              <w:rPr>
                <w:rFonts w:hint="eastAsia" w:asciiTheme="minorEastAsia" w:hAnsiTheme="minorEastAsia"/>
                <w:sz w:val="24"/>
                <w:szCs w:val="24"/>
              </w:rPr>
              <w:t xml:space="preserve">   </w:t>
            </w:r>
            <w:r>
              <w:rPr>
                <w:rFonts w:hint="eastAsia" w:asciiTheme="minorEastAsia" w:hAnsiTheme="minorEastAsia"/>
                <w:i/>
                <w:iCs/>
                <w:sz w:val="24"/>
                <w:szCs w:val="24"/>
              </w:rPr>
              <w:t>S</w:t>
            </w:r>
            <w:r>
              <w:rPr>
                <w:rFonts w:hint="eastAsia" w:asciiTheme="minorEastAsia" w:hAnsiTheme="minorEastAsia"/>
                <w:sz w:val="24"/>
                <w:szCs w:val="24"/>
                <w:vertAlign w:val="subscript"/>
              </w:rPr>
              <w:t>21</w:t>
            </w:r>
            <w:r>
              <w:rPr>
                <w:rFonts w:hint="eastAsia" w:asciiTheme="minorEastAsia" w:hAnsiTheme="minorEastAsia"/>
                <w:i/>
                <w:iCs/>
                <w:sz w:val="24"/>
                <w:szCs w:val="24"/>
              </w:rPr>
              <w:t xml:space="preserve"> ---网络分析仪</w:t>
            </w:r>
            <w:r>
              <w:rPr>
                <w:rFonts w:hint="eastAsia" w:asciiTheme="minorEastAsia" w:hAnsiTheme="minorEastAsia"/>
                <w:sz w:val="24"/>
                <w:szCs w:val="24"/>
              </w:rPr>
              <w:t xml:space="preserve">测量的传输参数,单位为分贝dB </w:t>
            </w:r>
          </w:p>
          <w:p>
            <w:pPr>
              <w:spacing w:line="360" w:lineRule="auto"/>
              <w:jc w:val="both"/>
              <w:rPr>
                <w:sz w:val="24"/>
                <w:szCs w:val="24"/>
              </w:rPr>
            </w:pPr>
            <w:r>
              <w:rPr>
                <w:rFonts w:hint="eastAsia"/>
                <w:sz w:val="24"/>
                <w:szCs w:val="24"/>
              </w:rPr>
              <w:t xml:space="preserve">  </w:t>
            </w:r>
            <w:r>
              <w:rPr>
                <w:rFonts w:hint="eastAsia" w:asciiTheme="minorEastAsia" w:hAnsiTheme="minorEastAsia"/>
                <w:sz w:val="24"/>
                <w:szCs w:val="24"/>
              </w:rPr>
              <w:t xml:space="preserve">  </w:t>
            </w:r>
            <w:r>
              <w:rPr>
                <w:rFonts w:hint="eastAsia" w:asciiTheme="minorEastAsia" w:hAnsiTheme="minorEastAsia"/>
                <w:i/>
                <w:iCs/>
                <w:sz w:val="24"/>
                <w:szCs w:val="24"/>
              </w:rPr>
              <w:t xml:space="preserve">K --- </w:t>
            </w:r>
            <w:r>
              <w:rPr>
                <w:rFonts w:hint="eastAsia" w:asciiTheme="minorEastAsia" w:hAnsiTheme="minorEastAsia"/>
                <w:sz w:val="24"/>
                <w:szCs w:val="24"/>
              </w:rPr>
              <w:t>接收天线的天线系数,单位为dB/m</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839"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jc w:val="center"/>
              <w:rPr>
                <w:sz w:val="28"/>
                <w:szCs w:val="28"/>
              </w:rPr>
            </w:pPr>
            <w:r>
              <w:rPr>
                <w:rFonts w:hint="eastAsia"/>
                <w:sz w:val="28"/>
                <w:szCs w:val="28"/>
              </w:rPr>
              <w:t>水平</w:t>
            </w:r>
          </w:p>
        </w:tc>
        <w:tc>
          <w:tcPr>
            <w:tcW w:w="7143" w:type="dxa"/>
            <w:gridSpan w:val="6"/>
            <w:tcBorders>
              <w:top w:val="single" w:color="auto" w:sz="4" w:space="0"/>
              <w:left w:val="single" w:color="auto" w:sz="4" w:space="0"/>
              <w:bottom w:val="single" w:color="auto" w:sz="4" w:space="0"/>
              <w:right w:val="single" w:color="auto" w:sz="4" w:space="0"/>
            </w:tcBorders>
            <w:vAlign w:val="center"/>
          </w:tcPr>
          <w:p>
            <w:pPr>
              <w:adjustRightInd w:val="0"/>
              <w:snapToGrid w:val="0"/>
              <w:spacing w:line="360" w:lineRule="auto"/>
              <w:jc w:val="both"/>
              <w:rPr>
                <w:sz w:val="24"/>
                <w:szCs w:val="24"/>
              </w:rPr>
            </w:pPr>
            <w:r>
              <w:rPr>
                <w:rFonts w:hint="eastAsia"/>
                <w:sz w:val="24"/>
                <w:szCs w:val="24"/>
              </w:rPr>
              <w:t xml:space="preserve">       □国际先进        </w:t>
            </w:r>
            <w:r>
              <w:rPr>
                <w:rFonts w:hint="eastAsia" w:ascii="宋体" w:hAnsi="宋体"/>
                <w:sz w:val="24"/>
                <w:szCs w:val="24"/>
              </w:rPr>
              <w:t>■</w:t>
            </w:r>
            <w:r>
              <w:rPr>
                <w:rFonts w:hint="eastAsia"/>
                <w:sz w:val="24"/>
                <w:szCs w:val="24"/>
              </w:rPr>
              <w:t xml:space="preserve">国内先进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3886" w:hRule="atLeast"/>
          <w:jc w:val="center"/>
        </w:trPr>
        <w:tc>
          <w:tcPr>
            <w:tcW w:w="1956"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8"/>
                <w:szCs w:val="28"/>
              </w:rPr>
            </w:pPr>
            <w:r>
              <w:rPr>
                <w:rFonts w:hint="eastAsia"/>
                <w:sz w:val="28"/>
                <w:szCs w:val="28"/>
              </w:rPr>
              <w:t>国内外情况</w:t>
            </w:r>
          </w:p>
          <w:p>
            <w:pPr>
              <w:spacing w:line="500" w:lineRule="exact"/>
              <w:jc w:val="center"/>
              <w:rPr>
                <w:sz w:val="28"/>
                <w:szCs w:val="28"/>
              </w:rPr>
            </w:pPr>
            <w:r>
              <w:rPr>
                <w:rFonts w:hint="eastAsia"/>
                <w:sz w:val="28"/>
                <w:szCs w:val="28"/>
              </w:rPr>
              <w:t>简要说明</w:t>
            </w:r>
          </w:p>
        </w:tc>
        <w:tc>
          <w:tcPr>
            <w:tcW w:w="7143" w:type="dxa"/>
            <w:gridSpan w:val="6"/>
            <w:tcBorders>
              <w:top w:val="single" w:color="auto" w:sz="4" w:space="0"/>
              <w:left w:val="single" w:color="auto" w:sz="4" w:space="0"/>
              <w:bottom w:val="single" w:color="auto" w:sz="4" w:space="0"/>
              <w:right w:val="single" w:color="auto" w:sz="4" w:space="0"/>
            </w:tcBorders>
            <w:vAlign w:val="center"/>
          </w:tcPr>
          <w:p>
            <w:pPr>
              <w:spacing w:line="360" w:lineRule="auto"/>
              <w:jc w:val="both"/>
              <w:rPr>
                <w:rStyle w:val="12"/>
                <w:rFonts w:ascii="黑体" w:hAnsi="Arial" w:eastAsia="黑体" w:cs="Arial"/>
                <w:b/>
                <w:bCs/>
                <w:color w:val="333333"/>
                <w:sz w:val="24"/>
                <w:szCs w:val="24"/>
              </w:rPr>
            </w:pPr>
            <w:r>
              <w:rPr>
                <w:rStyle w:val="12"/>
                <w:rFonts w:hint="eastAsia" w:ascii="黑体" w:hAnsi="Arial" w:eastAsia="黑体" w:cs="Arial"/>
                <w:b/>
                <w:bCs/>
                <w:color w:val="333333"/>
                <w:sz w:val="24"/>
                <w:szCs w:val="24"/>
              </w:rPr>
              <w:t>1、国内现状</w:t>
            </w:r>
          </w:p>
          <w:p>
            <w:pPr>
              <w:spacing w:line="360" w:lineRule="auto"/>
              <w:ind w:firstLine="480" w:firstLineChars="200"/>
              <w:jc w:val="both"/>
              <w:rPr>
                <w:rFonts w:cs="Arial" w:asciiTheme="minorEastAsia" w:hAnsiTheme="minorEastAsia"/>
                <w:color w:val="333333"/>
                <w:sz w:val="24"/>
                <w:szCs w:val="24"/>
              </w:rPr>
            </w:pPr>
            <w:r>
              <w:rPr>
                <w:rFonts w:cs="Arial" w:asciiTheme="minorEastAsia" w:hAnsiTheme="minorEastAsia"/>
                <w:color w:val="333333"/>
                <w:sz w:val="24"/>
                <w:szCs w:val="24"/>
              </w:rPr>
              <w:t>由于我国汽车工业整体水平落后，对汽车电磁兼容性问题的认识总体不够。近年来，逐渐吸收了国外部分研究成果，颁布了一些汽车电磁兼容标准，但与 ISO、IEC等国际先进标准还有较大的差距 。目前国内涉及到汽车整车及零部件电磁兼容性能的标准有GB14023、GB/T18387、GB</w:t>
            </w:r>
            <w:r>
              <w:rPr>
                <w:rFonts w:hint="eastAsia" w:cs="Arial" w:asciiTheme="minorEastAsia" w:hAnsiTheme="minorEastAsia"/>
                <w:color w:val="333333"/>
                <w:sz w:val="24"/>
                <w:szCs w:val="24"/>
              </w:rPr>
              <w:t xml:space="preserve">/T </w:t>
            </w:r>
            <w:r>
              <w:rPr>
                <w:rFonts w:cs="Arial" w:asciiTheme="minorEastAsia" w:hAnsiTheme="minorEastAsia"/>
                <w:color w:val="333333"/>
                <w:sz w:val="24"/>
                <w:szCs w:val="24"/>
              </w:rPr>
              <w:t>18655、GB/T17619、GB/T19951、GB/T21437共6个，均为全部或部分等同采用相关国际标准制定。主要对内燃机汽车的整车辐射骚扰，电动车辆的电磁场发射强度，车载电子、电器部件的传导和辐射骚扰，车辆电子电器部件的电磁抗扰度性能，整车及零部件抗静电放电干扰的性能，由传导和耦合引起的零部件电磁骚扰特性等方面的要求、测量和评价方法作出规定。</w:t>
            </w:r>
            <w:r>
              <w:rPr>
                <w:rFonts w:hint="eastAsia" w:cs="Arial" w:asciiTheme="minorEastAsia" w:hAnsiTheme="minorEastAsia"/>
                <w:color w:val="333333"/>
                <w:sz w:val="24"/>
                <w:szCs w:val="24"/>
              </w:rPr>
              <w:t>以上标准都是汽车电磁兼容测试标准，对测试场地有基本的性能要求和确认说明，本校准规范充分考虑了以上已颁布标准，同时又从计量层面对具体的方法和细节做出规定。</w:t>
            </w:r>
          </w:p>
          <w:p>
            <w:pPr>
              <w:spacing w:line="360" w:lineRule="auto"/>
              <w:jc w:val="both"/>
              <w:rPr>
                <w:rStyle w:val="12"/>
                <w:rFonts w:ascii="黑体" w:hAnsi="Arial" w:eastAsia="黑体" w:cs="Arial"/>
                <w:b/>
                <w:bCs/>
                <w:color w:val="333333"/>
                <w:sz w:val="24"/>
                <w:szCs w:val="24"/>
              </w:rPr>
            </w:pPr>
            <w:r>
              <w:rPr>
                <w:rStyle w:val="12"/>
                <w:rFonts w:hint="eastAsia" w:ascii="黑体" w:hAnsi="Arial" w:eastAsia="黑体" w:cs="Arial"/>
                <w:b/>
                <w:bCs/>
                <w:color w:val="333333"/>
                <w:sz w:val="24"/>
                <w:szCs w:val="24"/>
              </w:rPr>
              <w:t>2、国外现状</w:t>
            </w:r>
          </w:p>
          <w:p>
            <w:pPr>
              <w:spacing w:line="360" w:lineRule="auto"/>
              <w:ind w:firstLine="480" w:firstLineChars="200"/>
              <w:jc w:val="both"/>
              <w:rPr>
                <w:rFonts w:cs="Arial" w:asciiTheme="minorEastAsia" w:hAnsiTheme="minorEastAsia"/>
                <w:color w:val="333333"/>
                <w:sz w:val="24"/>
                <w:szCs w:val="24"/>
              </w:rPr>
            </w:pPr>
            <w:r>
              <w:rPr>
                <w:rFonts w:cs="Arial" w:asciiTheme="minorEastAsia" w:hAnsiTheme="minorEastAsia"/>
                <w:color w:val="333333"/>
                <w:sz w:val="24"/>
                <w:szCs w:val="24"/>
              </w:rPr>
              <w:t>汽车发达国家和地区很早就开展了汽车电磁兼容问题的研究，现在已经取得了不少成果，并颁布</w:t>
            </w:r>
            <w:r>
              <w:rPr>
                <w:rFonts w:hint="eastAsia" w:cs="Arial" w:asciiTheme="minorEastAsia" w:hAnsiTheme="minorEastAsia"/>
                <w:color w:val="333333"/>
                <w:sz w:val="24"/>
                <w:szCs w:val="24"/>
              </w:rPr>
              <w:t>了</w:t>
            </w:r>
            <w:r>
              <w:rPr>
                <w:rFonts w:cs="Arial" w:asciiTheme="minorEastAsia" w:hAnsiTheme="minorEastAsia"/>
                <w:color w:val="333333"/>
                <w:sz w:val="24"/>
                <w:szCs w:val="24"/>
              </w:rPr>
              <w:t>较完善的车辆电磁兼容标准法规，一些汽车制造厂商还制定了远高于国际标准的企业标准。目前国外涉及汽车整车及零部件的电磁兼容测试标准多达29个，主要有以下几类：国际标准如ISO系列（共15个抗扰度标准）、CISPR 系列（2</w:t>
            </w:r>
            <w:r>
              <w:rPr>
                <w:rFonts w:hint="eastAsia" w:cs="Arial" w:asciiTheme="minorEastAsia" w:hAnsiTheme="minorEastAsia"/>
                <w:color w:val="333333"/>
                <w:sz w:val="24"/>
                <w:szCs w:val="24"/>
              </w:rPr>
              <w:t xml:space="preserve"> </w:t>
            </w:r>
            <w:r>
              <w:rPr>
                <w:rFonts w:cs="Arial" w:asciiTheme="minorEastAsia" w:hAnsiTheme="minorEastAsia"/>
                <w:color w:val="333333"/>
                <w:sz w:val="24"/>
                <w:szCs w:val="24"/>
              </w:rPr>
              <w:t>个骚扰标准）等；地区标准，如欧洲的72/245/EEC</w:t>
            </w:r>
            <w:r>
              <w:rPr>
                <w:rFonts w:hint="eastAsia" w:cs="Arial" w:asciiTheme="minorEastAsia" w:hAnsiTheme="minorEastAsia"/>
                <w:color w:val="333333"/>
                <w:sz w:val="24"/>
                <w:szCs w:val="24"/>
              </w:rPr>
              <w:t xml:space="preserve"> </w:t>
            </w:r>
            <w:r>
              <w:rPr>
                <w:rFonts w:cs="Arial" w:asciiTheme="minorEastAsia" w:hAnsiTheme="minorEastAsia"/>
                <w:color w:val="333333"/>
                <w:sz w:val="24"/>
                <w:szCs w:val="24"/>
              </w:rPr>
              <w:t>指令和 ECE R10</w:t>
            </w:r>
            <w:r>
              <w:rPr>
                <w:rFonts w:hint="eastAsia" w:cs="Arial" w:asciiTheme="minorEastAsia" w:hAnsiTheme="minorEastAsia"/>
                <w:color w:val="333333"/>
                <w:sz w:val="24"/>
                <w:szCs w:val="24"/>
              </w:rPr>
              <w:t xml:space="preserve"> </w:t>
            </w:r>
            <w:r>
              <w:rPr>
                <w:rFonts w:cs="Arial" w:asciiTheme="minorEastAsia" w:hAnsiTheme="minorEastAsia"/>
                <w:color w:val="333333"/>
                <w:sz w:val="24"/>
                <w:szCs w:val="24"/>
              </w:rPr>
              <w:t>法规（涵盖</w:t>
            </w:r>
            <w:r>
              <w:rPr>
                <w:rFonts w:hint="eastAsia" w:cs="Arial" w:asciiTheme="minorEastAsia" w:hAnsiTheme="minorEastAsia"/>
                <w:color w:val="333333"/>
                <w:sz w:val="24"/>
                <w:szCs w:val="24"/>
              </w:rPr>
              <w:t xml:space="preserve"> </w:t>
            </w:r>
            <w:r>
              <w:rPr>
                <w:rFonts w:cs="Arial" w:asciiTheme="minorEastAsia" w:hAnsiTheme="minorEastAsia"/>
                <w:color w:val="333333"/>
                <w:sz w:val="24"/>
                <w:szCs w:val="24"/>
              </w:rPr>
              <w:t>ISO、CISPR</w:t>
            </w:r>
            <w:r>
              <w:rPr>
                <w:rFonts w:hint="eastAsia" w:cs="Arial" w:asciiTheme="minorEastAsia" w:hAnsiTheme="minorEastAsia"/>
                <w:color w:val="333333"/>
                <w:sz w:val="24"/>
                <w:szCs w:val="24"/>
              </w:rPr>
              <w:t xml:space="preserve"> </w:t>
            </w:r>
            <w:r>
              <w:rPr>
                <w:rFonts w:cs="Arial" w:asciiTheme="minorEastAsia" w:hAnsiTheme="minorEastAsia"/>
                <w:color w:val="333333"/>
                <w:sz w:val="24"/>
                <w:szCs w:val="24"/>
              </w:rPr>
              <w:t>所有标准）等；国家标准，如美国汽车工程学会SAE系列标准（共29个骚扰和抗扰度标准）等；汽车厂商的企业标准，如福特ES-XW7T-1A278-AC，大众VW TL80101、VW TL 82066，现代Hyundai ES 39110-00、HyundaiES96100- 01等。这些标准法规对汽车整车及零部件的电磁辐射骚扰、传导骚扰、瞬态传导骚扰、辐射抗干扰、瞬态传导抗干扰、抗静电放电等的测试方法及限值都进行了详细的规定，既可以有效保证汽车的电磁兼容性能，又能使汽车的整体综合性能得到显著提高。</w:t>
            </w:r>
          </w:p>
          <w:p>
            <w:pPr>
              <w:spacing w:line="360" w:lineRule="auto"/>
              <w:ind w:firstLine="480" w:firstLineChars="200"/>
              <w:jc w:val="both"/>
              <w:rPr>
                <w:rFonts w:asciiTheme="minorEastAsia" w:hAnsiTheme="minorEastAsia"/>
                <w:color w:val="FF0000"/>
                <w:sz w:val="24"/>
                <w:szCs w:val="24"/>
                <w:u w:val="singl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471" w:hRule="atLeast"/>
          <w:jc w:val="center"/>
        </w:trPr>
        <w:tc>
          <w:tcPr>
            <w:tcW w:w="822"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主要</w:t>
            </w:r>
          </w:p>
          <w:p>
            <w:pPr>
              <w:spacing w:line="500" w:lineRule="exact"/>
              <w:jc w:val="center"/>
              <w:rPr>
                <w:sz w:val="24"/>
              </w:rPr>
            </w:pPr>
            <w:r>
              <w:rPr>
                <w:rFonts w:hint="eastAsia"/>
                <w:sz w:val="24"/>
              </w:rPr>
              <w:t>起草单位</w:t>
            </w:r>
          </w:p>
        </w:tc>
        <w:tc>
          <w:tcPr>
            <w:tcW w:w="1984"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（签字、盖公章）</w:t>
            </w:r>
          </w:p>
          <w:p>
            <w:pPr>
              <w:spacing w:line="500" w:lineRule="exact"/>
              <w:jc w:val="center"/>
              <w:rPr>
                <w:sz w:val="24"/>
              </w:rPr>
            </w:pPr>
            <w:r>
              <w:rPr>
                <w:rFonts w:hint="eastAsia"/>
                <w:sz w:val="24"/>
              </w:rPr>
              <w:t xml:space="preserve">  </w:t>
            </w:r>
          </w:p>
          <w:p>
            <w:pPr>
              <w:spacing w:line="500" w:lineRule="exact"/>
              <w:jc w:val="center"/>
              <w:rPr>
                <w:sz w:val="24"/>
              </w:rPr>
            </w:pPr>
            <w:r>
              <w:rPr>
                <w:rFonts w:hint="eastAsia"/>
                <w:sz w:val="24"/>
              </w:rPr>
              <w:t>月  日</w:t>
            </w:r>
          </w:p>
        </w:tc>
        <w:tc>
          <w:tcPr>
            <w:tcW w:w="85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技术</w:t>
            </w:r>
          </w:p>
          <w:p>
            <w:pPr>
              <w:spacing w:line="500" w:lineRule="exact"/>
              <w:jc w:val="center"/>
              <w:rPr>
                <w:sz w:val="24"/>
              </w:rPr>
            </w:pPr>
            <w:r>
              <w:rPr>
                <w:rFonts w:hint="eastAsia"/>
                <w:sz w:val="24"/>
              </w:rPr>
              <w:t>委员会</w:t>
            </w:r>
          </w:p>
        </w:tc>
        <w:tc>
          <w:tcPr>
            <w:tcW w:w="2268" w:type="dxa"/>
            <w:gridSpan w:val="2"/>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（签字、盖公章）</w:t>
            </w:r>
          </w:p>
          <w:p>
            <w:pPr>
              <w:spacing w:line="500" w:lineRule="exact"/>
              <w:jc w:val="center"/>
              <w:rPr>
                <w:sz w:val="24"/>
              </w:rPr>
            </w:pPr>
          </w:p>
          <w:p>
            <w:pPr>
              <w:spacing w:line="500" w:lineRule="exact"/>
              <w:jc w:val="center"/>
              <w:rPr>
                <w:sz w:val="24"/>
              </w:rPr>
            </w:pPr>
            <w:r>
              <w:rPr>
                <w:rFonts w:hint="eastAsia"/>
                <w:sz w:val="24"/>
              </w:rPr>
              <w:t>月</w:t>
            </w:r>
            <w:r>
              <w:rPr>
                <w:sz w:val="24"/>
              </w:rPr>
              <w:t xml:space="preserve">  </w:t>
            </w:r>
            <w:r>
              <w:rPr>
                <w:rFonts w:hint="eastAsia"/>
                <w:sz w:val="24"/>
              </w:rPr>
              <w:t>日</w:t>
            </w:r>
          </w:p>
        </w:tc>
        <w:tc>
          <w:tcPr>
            <w:tcW w:w="113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部委托</w:t>
            </w:r>
          </w:p>
          <w:p>
            <w:pPr>
              <w:spacing w:line="500" w:lineRule="exact"/>
              <w:jc w:val="center"/>
              <w:rPr>
                <w:sz w:val="24"/>
              </w:rPr>
            </w:pPr>
            <w:r>
              <w:rPr>
                <w:rFonts w:hint="eastAsia"/>
                <w:sz w:val="24"/>
              </w:rPr>
              <w:t>支撑</w:t>
            </w:r>
          </w:p>
          <w:p>
            <w:pPr>
              <w:spacing w:line="500" w:lineRule="exact"/>
              <w:jc w:val="center"/>
              <w:rPr>
                <w:sz w:val="24"/>
              </w:rPr>
            </w:pPr>
            <w:r>
              <w:rPr>
                <w:rFonts w:hint="eastAsia"/>
                <w:sz w:val="24"/>
              </w:rPr>
              <w:t>单位</w:t>
            </w:r>
          </w:p>
        </w:tc>
        <w:tc>
          <w:tcPr>
            <w:tcW w:w="2040"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sz w:val="24"/>
              </w:rPr>
            </w:pPr>
            <w:r>
              <w:rPr>
                <w:rFonts w:hint="eastAsia"/>
                <w:sz w:val="24"/>
              </w:rPr>
              <w:t>（签字、盖公章）</w:t>
            </w:r>
          </w:p>
          <w:p>
            <w:pPr>
              <w:spacing w:line="500" w:lineRule="exact"/>
              <w:jc w:val="center"/>
              <w:rPr>
                <w:sz w:val="24"/>
              </w:rPr>
            </w:pPr>
          </w:p>
          <w:p>
            <w:pPr>
              <w:spacing w:line="500" w:lineRule="exact"/>
              <w:jc w:val="center"/>
              <w:rPr>
                <w:sz w:val="24"/>
              </w:rPr>
            </w:pPr>
            <w:r>
              <w:rPr>
                <w:rFonts w:hint="eastAsia"/>
                <w:sz w:val="24"/>
              </w:rPr>
              <w:t>月</w:t>
            </w:r>
            <w:r>
              <w:rPr>
                <w:sz w:val="24"/>
              </w:rPr>
              <w:t xml:space="preserve">  </w:t>
            </w:r>
            <w:r>
              <w:rPr>
                <w:rFonts w:hint="eastAsia"/>
                <w:sz w:val="24"/>
              </w:rPr>
              <w:t>日</w:t>
            </w:r>
          </w:p>
        </w:tc>
      </w:tr>
    </w:tbl>
    <w:p>
      <w:r>
        <w:rPr>
          <w:rFonts w:hint="eastAsia"/>
        </w:rPr>
        <w:t>填写说明：1.表中第</w:t>
      </w:r>
      <w:r>
        <w:t>2</w:t>
      </w:r>
      <w:r>
        <w:rPr>
          <w:rFonts w:hint="eastAsia"/>
        </w:rPr>
        <w:t>，</w:t>
      </w:r>
      <w:r>
        <w:t>3</w:t>
      </w:r>
      <w:r>
        <w:rPr>
          <w:rFonts w:hint="eastAsia"/>
        </w:rPr>
        <w:t>，8行，请在选定的内容上填写 “</w:t>
      </w:r>
      <w:r>
        <w:rPr>
          <w:rFonts w:hint="eastAsia" w:ascii="宋体" w:hAnsi="宋体"/>
        </w:rPr>
        <w:t>█</w:t>
      </w:r>
      <w:r>
        <w:rPr>
          <w:rFonts w:hint="eastAsia"/>
        </w:rPr>
        <w:t>”的符号。</w:t>
      </w:r>
    </w:p>
    <w:p>
      <w:pPr>
        <w:rPr>
          <w:sz w:val="28"/>
          <w:szCs w:val="28"/>
        </w:rPr>
      </w:pPr>
      <w:r>
        <w:rPr>
          <w:rFonts w:hint="eastAsia"/>
        </w:rPr>
        <w:t xml:space="preserve">          </w:t>
      </w:r>
      <w:r>
        <w:rPr>
          <w:rFonts w:hint="eastAsia"/>
          <w:szCs w:val="21"/>
        </w:rPr>
        <w:t>2.填写制定或修订项目中，若选择修订则必须填写被修订计量技术规范号。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E34F0B"/>
    <w:multiLevelType w:val="multilevel"/>
    <w:tmpl w:val="49E34F0B"/>
    <w:lvl w:ilvl="0" w:tentative="0">
      <w:start w:val="1"/>
      <w:numFmt w:val="bullet"/>
      <w:lvlText w:val="□"/>
      <w:lvlJc w:val="left"/>
      <w:pPr>
        <w:ind w:left="360" w:hanging="360"/>
      </w:pPr>
      <w:rPr>
        <w:rFonts w:hint="eastAsia" w:ascii="宋体" w:hAnsi="宋体"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A79"/>
    <w:rsid w:val="00015FC7"/>
    <w:rsid w:val="00022659"/>
    <w:rsid w:val="0004464E"/>
    <w:rsid w:val="00047332"/>
    <w:rsid w:val="000979B1"/>
    <w:rsid w:val="000A49D8"/>
    <w:rsid w:val="000D122C"/>
    <w:rsid w:val="000F5237"/>
    <w:rsid w:val="001020B2"/>
    <w:rsid w:val="0010613E"/>
    <w:rsid w:val="00131CD7"/>
    <w:rsid w:val="00141763"/>
    <w:rsid w:val="00146AB5"/>
    <w:rsid w:val="0015152F"/>
    <w:rsid w:val="0015308D"/>
    <w:rsid w:val="00170812"/>
    <w:rsid w:val="00173DAE"/>
    <w:rsid w:val="00190D8A"/>
    <w:rsid w:val="00194C90"/>
    <w:rsid w:val="001E335F"/>
    <w:rsid w:val="001F1D8B"/>
    <w:rsid w:val="0023252E"/>
    <w:rsid w:val="00236FAD"/>
    <w:rsid w:val="002920BF"/>
    <w:rsid w:val="002958CE"/>
    <w:rsid w:val="002E1EC2"/>
    <w:rsid w:val="002E5E81"/>
    <w:rsid w:val="003261E4"/>
    <w:rsid w:val="003661E6"/>
    <w:rsid w:val="003947DE"/>
    <w:rsid w:val="003C241B"/>
    <w:rsid w:val="003D6B27"/>
    <w:rsid w:val="003E6940"/>
    <w:rsid w:val="00411938"/>
    <w:rsid w:val="004652CB"/>
    <w:rsid w:val="00472835"/>
    <w:rsid w:val="004754DE"/>
    <w:rsid w:val="004C478D"/>
    <w:rsid w:val="004D7FA9"/>
    <w:rsid w:val="00504947"/>
    <w:rsid w:val="005122BA"/>
    <w:rsid w:val="0052598C"/>
    <w:rsid w:val="005320B8"/>
    <w:rsid w:val="005473C7"/>
    <w:rsid w:val="00574389"/>
    <w:rsid w:val="005779D9"/>
    <w:rsid w:val="005D049E"/>
    <w:rsid w:val="00665B11"/>
    <w:rsid w:val="00687350"/>
    <w:rsid w:val="006873B6"/>
    <w:rsid w:val="006C71A6"/>
    <w:rsid w:val="006C7C3D"/>
    <w:rsid w:val="006D48B8"/>
    <w:rsid w:val="007052D7"/>
    <w:rsid w:val="007442DB"/>
    <w:rsid w:val="00777C1C"/>
    <w:rsid w:val="007D3AF3"/>
    <w:rsid w:val="007D680A"/>
    <w:rsid w:val="008342C1"/>
    <w:rsid w:val="008358C9"/>
    <w:rsid w:val="00836B04"/>
    <w:rsid w:val="008541DB"/>
    <w:rsid w:val="00867613"/>
    <w:rsid w:val="00873A79"/>
    <w:rsid w:val="008908E0"/>
    <w:rsid w:val="0090208C"/>
    <w:rsid w:val="00904087"/>
    <w:rsid w:val="00907BCB"/>
    <w:rsid w:val="009336D0"/>
    <w:rsid w:val="00935099"/>
    <w:rsid w:val="00972C68"/>
    <w:rsid w:val="00976A2D"/>
    <w:rsid w:val="009858B6"/>
    <w:rsid w:val="00996231"/>
    <w:rsid w:val="009B2E18"/>
    <w:rsid w:val="009B39D4"/>
    <w:rsid w:val="009B6B8C"/>
    <w:rsid w:val="00A00532"/>
    <w:rsid w:val="00A05E32"/>
    <w:rsid w:val="00A1284A"/>
    <w:rsid w:val="00A40257"/>
    <w:rsid w:val="00A40B00"/>
    <w:rsid w:val="00A46827"/>
    <w:rsid w:val="00A52709"/>
    <w:rsid w:val="00A72F8D"/>
    <w:rsid w:val="00AB56F9"/>
    <w:rsid w:val="00AC745D"/>
    <w:rsid w:val="00AD3078"/>
    <w:rsid w:val="00AE7CA2"/>
    <w:rsid w:val="00AF1C95"/>
    <w:rsid w:val="00B12971"/>
    <w:rsid w:val="00B207BB"/>
    <w:rsid w:val="00B500B9"/>
    <w:rsid w:val="00BA5091"/>
    <w:rsid w:val="00BE00E4"/>
    <w:rsid w:val="00BF7BDC"/>
    <w:rsid w:val="00C12CFE"/>
    <w:rsid w:val="00C21D16"/>
    <w:rsid w:val="00C53FB1"/>
    <w:rsid w:val="00C653EA"/>
    <w:rsid w:val="00C67491"/>
    <w:rsid w:val="00C77A0E"/>
    <w:rsid w:val="00C838EC"/>
    <w:rsid w:val="00C86C2C"/>
    <w:rsid w:val="00CA7AE8"/>
    <w:rsid w:val="00CB371D"/>
    <w:rsid w:val="00CC5F90"/>
    <w:rsid w:val="00CC6701"/>
    <w:rsid w:val="00CE2DDC"/>
    <w:rsid w:val="00CF2408"/>
    <w:rsid w:val="00CF274D"/>
    <w:rsid w:val="00D30519"/>
    <w:rsid w:val="00D434A2"/>
    <w:rsid w:val="00D5325B"/>
    <w:rsid w:val="00D66DDD"/>
    <w:rsid w:val="00D7630D"/>
    <w:rsid w:val="00D824C3"/>
    <w:rsid w:val="00DC2EBB"/>
    <w:rsid w:val="00DC4957"/>
    <w:rsid w:val="00DC53DC"/>
    <w:rsid w:val="00DD5FAB"/>
    <w:rsid w:val="00E23EA7"/>
    <w:rsid w:val="00E242EE"/>
    <w:rsid w:val="00E351ED"/>
    <w:rsid w:val="00E373CB"/>
    <w:rsid w:val="00E37C11"/>
    <w:rsid w:val="00E4041C"/>
    <w:rsid w:val="00E81792"/>
    <w:rsid w:val="00EB0559"/>
    <w:rsid w:val="00EB48BB"/>
    <w:rsid w:val="00EE3FD7"/>
    <w:rsid w:val="00F21DB5"/>
    <w:rsid w:val="00F74486"/>
    <w:rsid w:val="00F80FAA"/>
    <w:rsid w:val="00F95DF2"/>
    <w:rsid w:val="00FA1ECF"/>
    <w:rsid w:val="00FB22C0"/>
    <w:rsid w:val="00FF4332"/>
    <w:rsid w:val="233A2855"/>
    <w:rsid w:val="2D3F668D"/>
    <w:rsid w:val="426C1EA5"/>
    <w:rsid w:val="588325AA"/>
    <w:rsid w:val="7C3E42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11"/>
    <w:unhideWhenUsed/>
    <w:qFormat/>
    <w:uiPriority w:val="99"/>
    <w:pPr>
      <w:ind w:left="100" w:leftChars="2500"/>
    </w:pPr>
  </w:style>
  <w:style w:type="paragraph" w:styleId="3">
    <w:name w:val="Balloon Text"/>
    <w:basedOn w:val="1"/>
    <w:link w:val="13"/>
    <w:unhideWhenUsed/>
    <w:qFormat/>
    <w:uiPriority w:val="99"/>
    <w:rPr>
      <w:sz w:val="18"/>
      <w:szCs w:val="18"/>
    </w:rPr>
  </w:style>
  <w:style w:type="paragraph" w:styleId="4">
    <w:name w:val="footer"/>
    <w:basedOn w:val="1"/>
    <w:link w:val="10"/>
    <w:unhideWhenUsed/>
    <w:uiPriority w:val="99"/>
    <w:pPr>
      <w:tabs>
        <w:tab w:val="center" w:pos="4153"/>
        <w:tab w:val="right" w:pos="8306"/>
      </w:tabs>
      <w:snapToGrid w:val="0"/>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uiPriority w:val="99"/>
    <w:pPr>
      <w:spacing w:before="100" w:beforeAutospacing="1" w:after="100" w:afterAutospacing="1"/>
    </w:pPr>
    <w:rPr>
      <w:rFonts w:ascii="宋体" w:hAnsi="宋体" w:eastAsia="宋体" w:cs="宋体"/>
      <w:kern w:val="0"/>
      <w:sz w:val="24"/>
      <w:szCs w:val="24"/>
    </w:rPr>
  </w:style>
  <w:style w:type="character" w:customStyle="1" w:styleId="9">
    <w:name w:val="页眉 Char"/>
    <w:basedOn w:val="7"/>
    <w:link w:val="5"/>
    <w:uiPriority w:val="99"/>
    <w:rPr>
      <w:sz w:val="18"/>
      <w:szCs w:val="18"/>
    </w:rPr>
  </w:style>
  <w:style w:type="character" w:customStyle="1" w:styleId="10">
    <w:name w:val="页脚 Char"/>
    <w:basedOn w:val="7"/>
    <w:link w:val="4"/>
    <w:uiPriority w:val="99"/>
    <w:rPr>
      <w:sz w:val="18"/>
      <w:szCs w:val="18"/>
    </w:rPr>
  </w:style>
  <w:style w:type="character" w:customStyle="1" w:styleId="11">
    <w:name w:val="日期 Char"/>
    <w:basedOn w:val="7"/>
    <w:link w:val="2"/>
    <w:semiHidden/>
    <w:uiPriority w:val="99"/>
  </w:style>
  <w:style w:type="character" w:customStyle="1" w:styleId="12">
    <w:name w:val="bjh-strong"/>
    <w:basedOn w:val="7"/>
    <w:uiPriority w:val="0"/>
  </w:style>
  <w:style w:type="character" w:customStyle="1" w:styleId="13">
    <w:name w:val="批注框文本 Char"/>
    <w:basedOn w:val="7"/>
    <w:link w:val="3"/>
    <w:semiHidden/>
    <w:qFormat/>
    <w:uiPriority w:val="99"/>
    <w:rPr>
      <w:sz w:val="18"/>
      <w:szCs w:val="18"/>
    </w:rPr>
  </w:style>
  <w:style w:type="paragraph" w:customStyle="1" w:styleId="14">
    <w:name w:val="List Paragraph"/>
    <w:basedOn w:val="1"/>
    <w:qFormat/>
    <w:uiPriority w:val="34"/>
    <w:pPr>
      <w:ind w:firstLine="420" w:firstLineChars="200"/>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C550FF-1678-4419-8F0E-3B8323B1EA23}">
  <ds:schemaRefs/>
</ds:datastoreItem>
</file>

<file path=docProps/app.xml><?xml version="1.0" encoding="utf-8"?>
<Properties xmlns="http://schemas.openxmlformats.org/officeDocument/2006/extended-properties" xmlns:vt="http://schemas.openxmlformats.org/officeDocument/2006/docPropsVTypes">
  <Template>Normal.dotm</Template>
  <Pages>5</Pages>
  <Words>524</Words>
  <Characters>2992</Characters>
  <Lines>24</Lines>
  <Paragraphs>7</Paragraphs>
  <TotalTime>31</TotalTime>
  <ScaleCrop>false</ScaleCrop>
  <LinksUpToDate>false</LinksUpToDate>
  <CharactersWithSpaces>3509</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2018-08-27T01:49:00Z</dcterms:created>
  <dc:creator>jl</dc:creator>
  <cp:lastModifiedBy>acer</cp:lastModifiedBy>
  <cp:lastPrinted>2018-12-11T02:55:58Z</cp:lastPrinted>
  <dcterms:modified xsi:type="dcterms:W3CDTF">2018-12-11T03:09:04Z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